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B81C1" w14:textId="1CA71D98" w:rsidR="005112B1" w:rsidRDefault="007C0E35">
      <w:pPr>
        <w:pStyle w:val="1"/>
        <w:widowControl/>
        <w:shd w:val="clear" w:color="auto" w:fill="FFFFFF"/>
        <w:spacing w:beforeAutospacing="0" w:afterAutospacing="0"/>
        <w:jc w:val="center"/>
        <w:rPr>
          <w:rFonts w:ascii="方正小标宋简体" w:eastAsia="方正小标宋简体" w:hAnsi="方正小标宋简体" w:cs="方正小标宋简体" w:hint="default"/>
          <w:b w:val="0"/>
          <w:color w:val="000000"/>
          <w:sz w:val="36"/>
          <w:szCs w:val="36"/>
        </w:rPr>
      </w:pPr>
      <w:r>
        <w:rPr>
          <w:rFonts w:ascii="方正小标宋简体" w:eastAsia="方正小标宋简体" w:hAnsi="方正小标宋简体" w:cs="方正小标宋简体"/>
          <w:b w:val="0"/>
          <w:color w:val="000000"/>
          <w:sz w:val="36"/>
          <w:szCs w:val="36"/>
          <w:shd w:val="clear" w:color="auto" w:fill="FFFFFF"/>
        </w:rPr>
        <w:t>水利与建筑工程学院2021年专业学位硕士研究生“智慧水利”专项招生公告</w:t>
      </w:r>
    </w:p>
    <w:p w14:paraId="142DB7EF" w14:textId="77777777" w:rsidR="005112B1" w:rsidRDefault="007C0E35" w:rsidP="00E12554">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为了进一步适应国家经济建设和社会发展对高层次应用型人才的迫切需要，培养和造就具有强烈社会责任感、奉献精神、创新创业能力，同时兼具国际化视野，综合素质高、实践能力强，有志服务于现代土木水利发展的高层次人才，2021年在土木水利领域专业学位研究生中设置“智慧水利”学院探索类专项。</w:t>
      </w:r>
    </w:p>
    <w:p w14:paraId="38F6181A"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一、专项简介</w:t>
      </w:r>
    </w:p>
    <w:p w14:paraId="540773D6"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智慧水利（学院探索类项目）：立足水利工程发展的前沿，以信息化技术为支撑，通过云计算、大数据、物联网、移动终端、人工智能、水利模型、传感器等新兴技术的应用，坚持产学研结合，培养具有创新意识和良好职业素养，掌握传统水利工程专业知识和新信息技术，能够独立解决水利工程智慧建设或智能运行管理中复杂技术问题的应用型、复合型创新人才。</w:t>
      </w:r>
    </w:p>
    <w:p w14:paraId="3CF3C324"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二、培养特色</w:t>
      </w:r>
    </w:p>
    <w:p w14:paraId="6E921338"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采用“校企联合”和“双导师制”人才培养方式，培养体系由专业理论学习、工程实践训练、综合素质培养三个模块组成。通过专项项目研究生的培养，使毕业生在所学领域既掌握传统的水利工程专业知识，又能够熟练应用现代信息技术；既具备扎实的基础理论，又具备较强动手能力，成为能够分析解决复杂问题的应用型、复合型创新人才。</w:t>
      </w:r>
    </w:p>
    <w:p w14:paraId="74F82EB2"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三、招生对象及计划</w:t>
      </w:r>
    </w:p>
    <w:p w14:paraId="70245D78"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lastRenderedPageBreak/>
        <w:t>凡接到我院复试通知的土木水利领域专业学位研究生均可。</w:t>
      </w:r>
    </w:p>
    <w:p w14:paraId="3E22B9B5"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四、报名、复试及录取</w:t>
      </w:r>
    </w:p>
    <w:p w14:paraId="553B2AFF"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（一）志愿填报：按照专项类别，考生在确定参加复试后，按照意愿进行志愿填报。</w:t>
      </w:r>
    </w:p>
    <w:p w14:paraId="59ED5519"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（二）复试：由学院统一组织复试，报考专项的考生与非专项考生复试时间一致，要求相同。</w:t>
      </w:r>
    </w:p>
    <w:p w14:paraId="00E67F78"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三）录取原则：按照“分数优先，遵循志愿”的原则，即在录取时先按照分数高低进行排序，再根据第一志愿进行录取。如果有考生分数排名靠前，且第一志愿录取指标完成，则考虑考生第二志愿，依次类推。如果有考生没有录取到自己满意的志愿，且不愿服从调剂，则从后递补，完成招生指标。</w:t>
      </w:r>
    </w:p>
    <w:p w14:paraId="25B4DAD7"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（四）如果考生总成绩相同，则以初试成绩从高分到低分排序；如果初试成绩也相同，则以数学成绩从高分到低分排序。</w:t>
      </w:r>
    </w:p>
    <w:p w14:paraId="263C1F15"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五、学习方式、年限及实践环节时间要求</w:t>
      </w:r>
    </w:p>
    <w:p w14:paraId="6B8137B7"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（一）学习方式采用全日制，学习基本年限为3年。</w:t>
      </w:r>
    </w:p>
    <w:p w14:paraId="574349D3"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（二）本专项研究生修读学分不少于本领域专业学位硕士研究生培养方案要求的最低应修学分。</w:t>
      </w:r>
    </w:p>
    <w:p w14:paraId="4B73F9E5"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（三）实践环节时间要求不少于12个月。</w:t>
      </w:r>
    </w:p>
    <w:p w14:paraId="3B46A2A7"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六、学费及资助</w:t>
      </w:r>
    </w:p>
    <w:p w14:paraId="1FDAC00E"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（一）专项录取的专业学位硕士研究生学费和奖助标准与非专项的专业学位硕士研究生相同，均参照《西北农林科技大学研究生教育收费及奖助体系实施方案》（校研发[2014]271号）执行。</w:t>
      </w:r>
    </w:p>
    <w:p w14:paraId="26069555"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lastRenderedPageBreak/>
        <w:t>（二）依据各专项实施情况，专项设置部门会给予一定数额的科研补助或补贴。</w:t>
      </w:r>
    </w:p>
    <w:p w14:paraId="659B92DA"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七、教育管理</w:t>
      </w:r>
    </w:p>
    <w:p w14:paraId="1C5D9F25"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（一）专项招收的专业学位硕士研究生的日常教育管理同非专项一样，由学院统一管理。研究生导师是第一责任人。</w:t>
      </w:r>
    </w:p>
    <w:p w14:paraId="4EAF2223"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（二）研究生的实践能力培养和学位论文或报告选题由专项的设置部门或所在项目组首席把关。</w:t>
      </w:r>
    </w:p>
    <w:p w14:paraId="2FBD6E6F" w14:textId="77777777" w:rsidR="005112B1" w:rsidRDefault="007C0E35" w:rsidP="00E12554">
      <w:pPr>
        <w:pStyle w:val="1"/>
        <w:widowControl/>
        <w:spacing w:beforeAutospacing="0" w:afterAutospacing="0" w:line="560" w:lineRule="exact"/>
        <w:ind w:firstLineChars="200" w:firstLine="640"/>
        <w:jc w:val="both"/>
        <w:rPr>
          <w:rFonts w:ascii="Times New Roman" w:eastAsia="黑体" w:hAnsi="Times New Roman" w:hint="default"/>
          <w:b w:val="0"/>
          <w:sz w:val="32"/>
          <w:szCs w:val="32"/>
        </w:rPr>
      </w:pPr>
      <w:r>
        <w:rPr>
          <w:rFonts w:ascii="Times New Roman" w:eastAsia="黑体" w:hAnsi="Times New Roman"/>
          <w:b w:val="0"/>
          <w:sz w:val="32"/>
          <w:szCs w:val="32"/>
        </w:rPr>
        <w:t>八、就业深造</w:t>
      </w:r>
    </w:p>
    <w:p w14:paraId="11426A60"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获得硕士学位的专项研究生，优先推荐到龙头企业、事业单位、政府等相关单位工作，表现优秀者可优先推荐攻读校内（外）博士学位。</w:t>
      </w:r>
    </w:p>
    <w:p w14:paraId="3BF79461" w14:textId="77777777" w:rsidR="005112B1" w:rsidRPr="00E12554" w:rsidRDefault="007C0E35" w:rsidP="00E12554">
      <w:pPr>
        <w:pStyle w:val="1"/>
        <w:widowControl/>
        <w:spacing w:beforeAutospacing="0" w:afterAutospacing="0" w:line="560" w:lineRule="exact"/>
        <w:ind w:firstLineChars="200" w:firstLine="640"/>
        <w:jc w:val="both"/>
        <w:rPr>
          <w:rFonts w:ascii="Times New Roman" w:eastAsia="黑体" w:hAnsi="Times New Roman"/>
          <w:b w:val="0"/>
          <w:sz w:val="32"/>
          <w:szCs w:val="32"/>
        </w:rPr>
      </w:pPr>
      <w:r w:rsidRPr="00E12554">
        <w:rPr>
          <w:rFonts w:ascii="Times New Roman" w:eastAsia="黑体" w:hAnsi="Times New Roman"/>
          <w:b w:val="0"/>
          <w:sz w:val="32"/>
          <w:szCs w:val="32"/>
        </w:rPr>
        <w:t>九、其他</w:t>
      </w:r>
    </w:p>
    <w:p w14:paraId="24042D39" w14:textId="77777777" w:rsidR="005112B1"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Pr>
          <w:rFonts w:ascii="仿宋_GB2312" w:eastAsia="仿宋_GB2312" w:hAnsi="Times New Roman" w:hint="eastAsia"/>
          <w:kern w:val="2"/>
          <w:sz w:val="32"/>
          <w:szCs w:val="32"/>
        </w:rPr>
        <w:t>（一）考生咨询申请、考试、录取过程中的相关信息，请与报考学院的研究生办公室联系（详见招生目录）。</w:t>
      </w:r>
    </w:p>
    <w:p w14:paraId="4F47B155" w14:textId="77777777" w:rsidR="005112B1" w:rsidRPr="001D24BA"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（二）专项情况咨询联系人及联系方式：</w:t>
      </w:r>
    </w:p>
    <w:p w14:paraId="76CE52B1" w14:textId="41932530" w:rsidR="0031303F" w:rsidRPr="001D24BA" w:rsidRDefault="007C0E35"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王老师029-87082631</w:t>
      </w:r>
    </w:p>
    <w:p w14:paraId="644744AA" w14:textId="77777777" w:rsidR="0031303F" w:rsidRPr="001D24BA" w:rsidRDefault="0031303F"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附件：</w:t>
      </w:r>
    </w:p>
    <w:p w14:paraId="1D220B0C" w14:textId="1F39A21D" w:rsidR="0031303F" w:rsidRPr="001D24BA" w:rsidRDefault="0031303F"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1．“</w:t>
      </w:r>
      <w:r w:rsidR="00311029" w:rsidRPr="001D24BA">
        <w:rPr>
          <w:rFonts w:ascii="仿宋_GB2312" w:eastAsia="仿宋_GB2312" w:hAnsi="Times New Roman" w:hint="eastAsia"/>
          <w:kern w:val="2"/>
          <w:sz w:val="32"/>
          <w:szCs w:val="32"/>
        </w:rPr>
        <w:t>智慧水利</w:t>
      </w:r>
      <w:r w:rsidRPr="001D24BA">
        <w:rPr>
          <w:rFonts w:ascii="仿宋_GB2312" w:eastAsia="仿宋_GB2312" w:hAnsi="Times New Roman" w:hint="eastAsia"/>
          <w:kern w:val="2"/>
          <w:sz w:val="32"/>
          <w:szCs w:val="32"/>
        </w:rPr>
        <w:t>”项目招生目录</w:t>
      </w:r>
    </w:p>
    <w:p w14:paraId="3E0E844E" w14:textId="22B07BA0" w:rsidR="0031303F" w:rsidRPr="001D24BA" w:rsidRDefault="0031303F" w:rsidP="001D24BA">
      <w:pPr>
        <w:pStyle w:val="a3"/>
        <w:widowControl/>
        <w:shd w:val="clear" w:color="auto" w:fill="FFFFFF"/>
        <w:spacing w:beforeAutospacing="0" w:afterAutospacing="0" w:line="560" w:lineRule="exact"/>
        <w:ind w:firstLineChars="200" w:firstLine="640"/>
        <w:rPr>
          <w:rFonts w:ascii="仿宋_GB2312" w:eastAsia="仿宋_GB2312" w:hAnsi="Times New Roman"/>
          <w:kern w:val="2"/>
          <w:sz w:val="32"/>
          <w:szCs w:val="32"/>
        </w:rPr>
      </w:pPr>
      <w:r w:rsidRPr="001D24BA">
        <w:rPr>
          <w:rFonts w:ascii="仿宋_GB2312" w:eastAsia="仿宋_GB2312" w:hAnsi="Times New Roman" w:hint="eastAsia"/>
          <w:kern w:val="2"/>
          <w:sz w:val="32"/>
          <w:szCs w:val="32"/>
        </w:rPr>
        <w:t>2．西北农林科技大学2021年专业学位硕士研究生“</w:t>
      </w:r>
      <w:r w:rsidR="00311029" w:rsidRPr="001D24BA">
        <w:rPr>
          <w:rFonts w:ascii="仿宋_GB2312" w:eastAsia="仿宋_GB2312" w:hAnsi="Times New Roman" w:hint="eastAsia"/>
          <w:kern w:val="2"/>
          <w:sz w:val="32"/>
          <w:szCs w:val="32"/>
        </w:rPr>
        <w:t>智慧水利</w:t>
      </w:r>
      <w:r w:rsidRPr="001D24BA">
        <w:rPr>
          <w:rFonts w:ascii="仿宋_GB2312" w:eastAsia="仿宋_GB2312" w:hAnsi="Times New Roman" w:hint="eastAsia"/>
          <w:kern w:val="2"/>
          <w:sz w:val="32"/>
          <w:szCs w:val="32"/>
        </w:rPr>
        <w:t>”专项报名表</w:t>
      </w:r>
    </w:p>
    <w:p w14:paraId="4DF67FF9" w14:textId="77777777" w:rsidR="0031303F" w:rsidRPr="0031303F" w:rsidRDefault="0031303F" w:rsidP="0031303F">
      <w:pPr>
        <w:widowControl/>
        <w:spacing w:line="360" w:lineRule="auto"/>
        <w:ind w:firstLineChars="200" w:firstLine="640"/>
        <w:rPr>
          <w:rFonts w:asciiTheme="minorEastAsia" w:hAnsiTheme="minorEastAsia" w:cs="Times New Roman"/>
          <w:sz w:val="24"/>
        </w:rPr>
      </w:pPr>
      <w:r w:rsidRPr="0031303F">
        <w:rPr>
          <w:rFonts w:ascii="仿宋_GB2312" w:eastAsia="仿宋_GB2312" w:hAnsi="Times New Roman" w:cs="Times New Roman" w:hint="eastAsia"/>
          <w:sz w:val="32"/>
          <w:szCs w:val="32"/>
        </w:rPr>
        <w:t xml:space="preserve">                         2020年9月20日</w:t>
      </w:r>
    </w:p>
    <w:p w14:paraId="7CB74F9D" w14:textId="77777777" w:rsidR="005112B1" w:rsidRDefault="005112B1"/>
    <w:sectPr w:rsidR="005112B1" w:rsidSect="001D24BA">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130A38" w14:textId="77777777" w:rsidR="001113FA" w:rsidRDefault="001113FA" w:rsidP="00A068BE">
      <w:r>
        <w:separator/>
      </w:r>
    </w:p>
  </w:endnote>
  <w:endnote w:type="continuationSeparator" w:id="0">
    <w:p w14:paraId="47C37E27" w14:textId="77777777" w:rsidR="001113FA" w:rsidRDefault="001113FA" w:rsidP="00A0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C0B9F" w14:textId="77777777" w:rsidR="001113FA" w:rsidRDefault="001113FA" w:rsidP="00A068BE">
      <w:r>
        <w:separator/>
      </w:r>
    </w:p>
  </w:footnote>
  <w:footnote w:type="continuationSeparator" w:id="0">
    <w:p w14:paraId="6DCD0964" w14:textId="77777777" w:rsidR="001113FA" w:rsidRDefault="001113FA" w:rsidP="00A068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2A85AEE"/>
    <w:rsid w:val="001113FA"/>
    <w:rsid w:val="001D24BA"/>
    <w:rsid w:val="00311029"/>
    <w:rsid w:val="0031303F"/>
    <w:rsid w:val="00432D68"/>
    <w:rsid w:val="004E7A0C"/>
    <w:rsid w:val="005112B1"/>
    <w:rsid w:val="00713B5F"/>
    <w:rsid w:val="007C0E35"/>
    <w:rsid w:val="00A068BE"/>
    <w:rsid w:val="00E12554"/>
    <w:rsid w:val="17DF3300"/>
    <w:rsid w:val="3FF318E3"/>
    <w:rsid w:val="42A85AEE"/>
    <w:rsid w:val="578057F6"/>
    <w:rsid w:val="5F1A329D"/>
    <w:rsid w:val="62C251A2"/>
    <w:rsid w:val="6BE05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51A7AB"/>
  <w15:docId w15:val="{90A6BF52-C1ED-46E0-922C-AA5BB894A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A068B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A068BE"/>
    <w:rPr>
      <w:rFonts w:asciiTheme="minorHAnsi" w:eastAsiaTheme="minorEastAsia" w:hAnsiTheme="minorHAnsi" w:cstheme="minorBidi"/>
      <w:kern w:val="2"/>
      <w:sz w:val="18"/>
      <w:szCs w:val="18"/>
    </w:rPr>
  </w:style>
  <w:style w:type="paragraph" w:styleId="a7">
    <w:name w:val="footer"/>
    <w:basedOn w:val="a"/>
    <w:link w:val="a8"/>
    <w:rsid w:val="00A068BE"/>
    <w:pPr>
      <w:tabs>
        <w:tab w:val="center" w:pos="4153"/>
        <w:tab w:val="right" w:pos="8306"/>
      </w:tabs>
      <w:snapToGrid w:val="0"/>
      <w:jc w:val="left"/>
    </w:pPr>
    <w:rPr>
      <w:sz w:val="18"/>
      <w:szCs w:val="18"/>
    </w:rPr>
  </w:style>
  <w:style w:type="character" w:customStyle="1" w:styleId="a8">
    <w:name w:val="页脚 字符"/>
    <w:basedOn w:val="a0"/>
    <w:link w:val="a7"/>
    <w:rsid w:val="00A068BE"/>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210</Words>
  <Characters>1198</Characters>
  <Application>Microsoft Office Word</Application>
  <DocSecurity>0</DocSecurity>
  <Lines>9</Lines>
  <Paragraphs>2</Paragraphs>
  <ScaleCrop>false</ScaleCrop>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wu yawei</cp:lastModifiedBy>
  <cp:revision>8</cp:revision>
  <dcterms:created xsi:type="dcterms:W3CDTF">2020-09-27T08:34:00Z</dcterms:created>
  <dcterms:modified xsi:type="dcterms:W3CDTF">2020-10-05T08:47:00Z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