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80AAD" w14:textId="0D33461E" w:rsidR="00DC0F2D" w:rsidRPr="00880C2F" w:rsidRDefault="00880C2F" w:rsidP="00880C2F">
      <w:pPr>
        <w:spacing w:after="0" w:line="560" w:lineRule="exact"/>
        <w:jc w:val="center"/>
        <w:rPr>
          <w:rFonts w:ascii="方正小标宋简体" w:eastAsia="方正小标宋简体" w:hint="eastAsia"/>
          <w:sz w:val="44"/>
          <w:szCs w:val="44"/>
        </w:rPr>
      </w:pPr>
      <w:r w:rsidRPr="00880C2F">
        <w:rPr>
          <w:rFonts w:ascii="方正小标宋简体" w:eastAsia="方正小标宋简体" w:hint="eastAsia"/>
          <w:sz w:val="44"/>
          <w:szCs w:val="44"/>
        </w:rPr>
        <w:t>关于征集2026年西藏自治区科技计划项目指南建议的通知</w:t>
      </w:r>
    </w:p>
    <w:p w14:paraId="6DDC0C06" w14:textId="77777777" w:rsidR="00880C2F" w:rsidRDefault="00880C2F" w:rsidP="00880C2F">
      <w:pPr>
        <w:rPr>
          <w:rFonts w:hint="eastAsia"/>
        </w:rPr>
      </w:pPr>
    </w:p>
    <w:p w14:paraId="2DC63259" w14:textId="77777777" w:rsidR="00880C2F" w:rsidRPr="00880C2F" w:rsidRDefault="00880C2F" w:rsidP="00880C2F">
      <w:pPr>
        <w:snapToGrid w:val="0"/>
        <w:spacing w:after="0" w:line="560" w:lineRule="exact"/>
        <w:jc w:val="both"/>
        <w:rPr>
          <w:rFonts w:ascii="仿宋" w:eastAsia="仿宋" w:hAnsi="仿宋" w:hint="eastAsia"/>
          <w:sz w:val="32"/>
          <w:szCs w:val="32"/>
        </w:rPr>
      </w:pPr>
      <w:r w:rsidRPr="00880C2F">
        <w:rPr>
          <w:rFonts w:ascii="仿宋" w:eastAsia="仿宋" w:hAnsi="仿宋" w:hint="eastAsia"/>
          <w:sz w:val="32"/>
          <w:szCs w:val="32"/>
        </w:rPr>
        <w:t>各有关单位：</w:t>
      </w:r>
    </w:p>
    <w:p w14:paraId="67C56116" w14:textId="25394562"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为聚焦“四件大事”</w:t>
      </w:r>
      <w:r>
        <w:rPr>
          <w:rFonts w:ascii="仿宋" w:eastAsia="仿宋" w:hAnsi="仿宋" w:hint="eastAsia"/>
          <w:sz w:val="32"/>
          <w:szCs w:val="32"/>
        </w:rPr>
        <w:t>，</w:t>
      </w:r>
      <w:r w:rsidRPr="00880C2F">
        <w:rPr>
          <w:rFonts w:ascii="仿宋" w:eastAsia="仿宋" w:hAnsi="仿宋" w:hint="eastAsia"/>
          <w:sz w:val="32"/>
          <w:szCs w:val="32"/>
        </w:rPr>
        <w:t>聚力“四个创建”，围绕自治区党委、政府中心工作和自治区经济社会发展各行业领域、产业链中的科技创新需求，精准凝练关键科学问题，统筹谋划2026年自治区科技攻关任务，现就征集2026年自治区科技计划项目指南建议（以下简称指南建议）有关事项通知如下。</w:t>
      </w:r>
    </w:p>
    <w:p w14:paraId="69FE35F1" w14:textId="2127774B" w:rsidR="00880C2F" w:rsidRPr="00880C2F" w:rsidRDefault="00880C2F" w:rsidP="00880C2F">
      <w:pPr>
        <w:snapToGrid w:val="0"/>
        <w:spacing w:after="0" w:line="560" w:lineRule="exact"/>
        <w:ind w:firstLineChars="200" w:firstLine="643"/>
        <w:jc w:val="both"/>
        <w:rPr>
          <w:rFonts w:ascii="仿宋" w:eastAsia="仿宋" w:hAnsi="仿宋" w:hint="eastAsia"/>
          <w:b/>
          <w:bCs/>
          <w:sz w:val="32"/>
          <w:szCs w:val="32"/>
        </w:rPr>
      </w:pPr>
      <w:r w:rsidRPr="00880C2F">
        <w:rPr>
          <w:rFonts w:ascii="仿宋" w:eastAsia="仿宋" w:hAnsi="仿宋" w:hint="eastAsia"/>
          <w:b/>
          <w:bCs/>
          <w:sz w:val="32"/>
          <w:szCs w:val="32"/>
        </w:rPr>
        <w:t>一、总体要求</w:t>
      </w:r>
    </w:p>
    <w:p w14:paraId="3416C5AB" w14:textId="02183368"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坚持以习近平新时代中国特色社会主义思想为指导，深入贯彻落实党的二十大及中央第七次西藏工作座谈会精神，贯彻落实自治区第十次党代会及区党委十届历次全会精神，贯彻落实自治区党委、政府关于全区科技创新工作的决策部署，建立健全“科技创新需求清单+关键科学问题清单+科技攻关任务清单”科研项目组织机制，聚焦产业发展、民生改善等的重大科技需求，加强高原适用关键核心技术攻关及应用示范、成果转化，为建设社会主义现代化新西藏提供更加有力的科技支撑。</w:t>
      </w:r>
    </w:p>
    <w:p w14:paraId="5F36C83E" w14:textId="7578CC9F" w:rsidR="00880C2F" w:rsidRPr="00880C2F" w:rsidRDefault="00880C2F" w:rsidP="00880C2F">
      <w:pPr>
        <w:snapToGrid w:val="0"/>
        <w:spacing w:after="0" w:line="560" w:lineRule="exact"/>
        <w:ind w:firstLineChars="200" w:firstLine="643"/>
        <w:jc w:val="both"/>
        <w:rPr>
          <w:rFonts w:ascii="仿宋" w:eastAsia="仿宋" w:hAnsi="仿宋" w:hint="eastAsia"/>
          <w:b/>
          <w:bCs/>
          <w:sz w:val="32"/>
          <w:szCs w:val="32"/>
        </w:rPr>
      </w:pPr>
      <w:r w:rsidRPr="00880C2F">
        <w:rPr>
          <w:rFonts w:ascii="仿宋" w:eastAsia="仿宋" w:hAnsi="仿宋" w:hint="eastAsia"/>
          <w:b/>
          <w:bCs/>
          <w:sz w:val="32"/>
          <w:szCs w:val="32"/>
        </w:rPr>
        <w:t>二、征集原则</w:t>
      </w:r>
    </w:p>
    <w:p w14:paraId="2B16F032" w14:textId="364EDBE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此次指南建议征集坚持“国家所需、世界所争、西藏所能”，紧扣“区域所能、民生所系、趋势所向”，面向西藏需求，围绕产业</w:t>
      </w:r>
      <w:proofErr w:type="gramStart"/>
      <w:r w:rsidRPr="00880C2F">
        <w:rPr>
          <w:rFonts w:ascii="仿宋" w:eastAsia="仿宋" w:hAnsi="仿宋" w:hint="eastAsia"/>
          <w:sz w:val="32"/>
          <w:szCs w:val="32"/>
        </w:rPr>
        <w:t>链部署</w:t>
      </w:r>
      <w:proofErr w:type="gramEnd"/>
      <w:r w:rsidRPr="00880C2F">
        <w:rPr>
          <w:rFonts w:ascii="仿宋" w:eastAsia="仿宋" w:hAnsi="仿宋" w:hint="eastAsia"/>
          <w:sz w:val="32"/>
          <w:szCs w:val="32"/>
        </w:rPr>
        <w:t>创新链，</w:t>
      </w:r>
      <w:proofErr w:type="gramStart"/>
      <w:r w:rsidRPr="00880C2F">
        <w:rPr>
          <w:rFonts w:ascii="仿宋" w:eastAsia="仿宋" w:hAnsi="仿宋" w:hint="eastAsia"/>
          <w:sz w:val="32"/>
          <w:szCs w:val="32"/>
        </w:rPr>
        <w:t>凝练科学</w:t>
      </w:r>
      <w:proofErr w:type="gramEnd"/>
      <w:r w:rsidRPr="00880C2F">
        <w:rPr>
          <w:rFonts w:ascii="仿宋" w:eastAsia="仿宋" w:hAnsi="仿宋" w:hint="eastAsia"/>
          <w:sz w:val="32"/>
          <w:szCs w:val="32"/>
        </w:rPr>
        <w:t>问题，立足协同创新，促进多方合作。</w:t>
      </w:r>
    </w:p>
    <w:p w14:paraId="47328862" w14:textId="0A57D21E"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lastRenderedPageBreak/>
        <w:t>（一）注重需求导向。指南建议应注重需求牵引和问题导向，围绕在藏布局的重大战略任务、重大工程以及区域、行业、企业等的科技创新需求，</w:t>
      </w:r>
      <w:proofErr w:type="gramStart"/>
      <w:r w:rsidRPr="00880C2F">
        <w:rPr>
          <w:rFonts w:ascii="仿宋" w:eastAsia="仿宋" w:hAnsi="仿宋" w:hint="eastAsia"/>
          <w:sz w:val="32"/>
          <w:szCs w:val="32"/>
        </w:rPr>
        <w:t>凝练其中</w:t>
      </w:r>
      <w:proofErr w:type="gramEnd"/>
      <w:r w:rsidRPr="00880C2F">
        <w:rPr>
          <w:rFonts w:ascii="仿宋" w:eastAsia="仿宋" w:hAnsi="仿宋" w:hint="eastAsia"/>
          <w:sz w:val="32"/>
          <w:szCs w:val="32"/>
        </w:rPr>
        <w:t>的核心、紧迫、共性及关键科学问题。</w:t>
      </w:r>
    </w:p>
    <w:p w14:paraId="3A6EEC5B" w14:textId="66247328"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（二）推动产业</w:t>
      </w:r>
      <w:proofErr w:type="gramStart"/>
      <w:r w:rsidRPr="00880C2F">
        <w:rPr>
          <w:rFonts w:ascii="仿宋" w:eastAsia="仿宋" w:hAnsi="仿宋" w:hint="eastAsia"/>
          <w:sz w:val="32"/>
          <w:szCs w:val="32"/>
        </w:rPr>
        <w:t>链创新</w:t>
      </w:r>
      <w:proofErr w:type="gramEnd"/>
      <w:r w:rsidRPr="00880C2F">
        <w:rPr>
          <w:rFonts w:ascii="仿宋" w:eastAsia="仿宋" w:hAnsi="仿宋" w:hint="eastAsia"/>
          <w:sz w:val="32"/>
          <w:szCs w:val="32"/>
        </w:rPr>
        <w:t>链深度融合。加强符合产业发展需求的创新成果供给，加快攻关成果应用场景建设，推动新技术新产品新场景大规模应用示范，打造政府、企业、高校、科研院所等主体高效协同，知识、技术、资金、人才、数据等要素集聚融通的产业创新生态。</w:t>
      </w:r>
    </w:p>
    <w:p w14:paraId="3D1C0F1F" w14:textId="1F62B075"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（三）坚持开放合作。指南建议征集面向全国公开，支持区内部门、单位在充分利用区内科</w:t>
      </w:r>
      <w:proofErr w:type="gramStart"/>
      <w:r w:rsidRPr="00880C2F">
        <w:rPr>
          <w:rFonts w:ascii="仿宋" w:eastAsia="仿宋" w:hAnsi="仿宋" w:hint="eastAsia"/>
          <w:sz w:val="32"/>
          <w:szCs w:val="32"/>
        </w:rPr>
        <w:t>技力量</w:t>
      </w:r>
      <w:proofErr w:type="gramEnd"/>
      <w:r w:rsidRPr="00880C2F">
        <w:rPr>
          <w:rFonts w:ascii="仿宋" w:eastAsia="仿宋" w:hAnsi="仿宋" w:hint="eastAsia"/>
          <w:sz w:val="32"/>
          <w:szCs w:val="32"/>
        </w:rPr>
        <w:t>的同时，大力引进全国一流团队，联合提出指南建议。</w:t>
      </w:r>
    </w:p>
    <w:p w14:paraId="6C15E47A" w14:textId="281833B3"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（四）强调科学创新。指南建议应聚焦科技攻关重点方向，提炼精准关键科学问题，研究现状简明扼要、目标任务清晰明确，特色鲜明，具备创新性、必要性。</w:t>
      </w:r>
    </w:p>
    <w:p w14:paraId="3B7020E9" w14:textId="43842089"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五）资金需求合理。坚持以需求定任务、以任务定经费。指南建议人须结合前期研究基础和已取得的研究成果等，合理提出指南的资金预算建议，确保资金预算与研究内容、考核指标、重大标志性成果等相匹配。</w:t>
      </w:r>
    </w:p>
    <w:p w14:paraId="6662CD65" w14:textId="3EE0FEB0"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（六）强化安全规范。指南建议严格执行国家有关法律法规和伦理准则，防范科研伦理和科技安全风险。指南建议中应使用规范的专业术语，文字表述要求语句通顺、简明扼要，避免简单罗列、合并或拼凑。</w:t>
      </w:r>
    </w:p>
    <w:p w14:paraId="68EF56E8" w14:textId="58977463" w:rsidR="00880C2F" w:rsidRPr="00880C2F" w:rsidRDefault="00880C2F" w:rsidP="00880C2F">
      <w:pPr>
        <w:snapToGrid w:val="0"/>
        <w:spacing w:after="0" w:line="560" w:lineRule="exact"/>
        <w:ind w:firstLineChars="200" w:firstLine="643"/>
        <w:jc w:val="both"/>
        <w:rPr>
          <w:rFonts w:ascii="仿宋" w:eastAsia="仿宋" w:hAnsi="仿宋" w:hint="eastAsia"/>
          <w:b/>
          <w:bCs/>
          <w:sz w:val="32"/>
          <w:szCs w:val="32"/>
        </w:rPr>
      </w:pPr>
      <w:r w:rsidRPr="00880C2F">
        <w:rPr>
          <w:rFonts w:ascii="仿宋" w:eastAsia="仿宋" w:hAnsi="仿宋" w:hint="eastAsia"/>
          <w:b/>
          <w:bCs/>
          <w:sz w:val="32"/>
          <w:szCs w:val="32"/>
        </w:rPr>
        <w:t>三、自治区科技计划项目指南编制发布工作流程</w:t>
      </w:r>
    </w:p>
    <w:p w14:paraId="4E42D709" w14:textId="26AF07DE"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lastRenderedPageBreak/>
        <w:t>——按照“自上而下”路径，参照国家科技重大专项及国家重点研发计划等相关做法，以自治区党委、政府中心工作和自治区经济社会发展各行业领域、产业链中的关键核心技术和产品为目标，自治区科技厅会同自治区各行业部门经专家咨询论证，分重点领域、研究方向和攻关任务等三个层次建立科技创新需求清单。2026年西藏自治区科技计划项目指南建议征集重点方向详见附件</w:t>
      </w:r>
      <w:r w:rsidR="007B5565">
        <w:rPr>
          <w:rFonts w:ascii="仿宋" w:eastAsia="仿宋" w:hAnsi="仿宋" w:hint="eastAsia"/>
          <w:sz w:val="32"/>
          <w:szCs w:val="32"/>
        </w:rPr>
        <w:t>1</w:t>
      </w:r>
      <w:r w:rsidRPr="00880C2F">
        <w:rPr>
          <w:rFonts w:ascii="仿宋" w:eastAsia="仿宋" w:hAnsi="仿宋" w:hint="eastAsia"/>
          <w:sz w:val="32"/>
          <w:szCs w:val="32"/>
        </w:rPr>
        <w:t>。</w:t>
      </w:r>
    </w:p>
    <w:p w14:paraId="3F9C92DC" w14:textId="2EB97982"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——按照“自下而上”路径，以附件</w:t>
      </w:r>
      <w:r w:rsidR="007B5565">
        <w:rPr>
          <w:rFonts w:ascii="仿宋" w:eastAsia="仿宋" w:hAnsi="仿宋" w:hint="eastAsia"/>
          <w:sz w:val="32"/>
          <w:szCs w:val="32"/>
        </w:rPr>
        <w:t>1</w:t>
      </w:r>
      <w:r w:rsidRPr="00880C2F">
        <w:rPr>
          <w:rFonts w:ascii="仿宋" w:eastAsia="仿宋" w:hAnsi="仿宋" w:hint="eastAsia"/>
          <w:sz w:val="32"/>
          <w:szCs w:val="32"/>
        </w:rPr>
        <w:t>的攻关任务为重点，面向社会广泛征集项目指南建议（《2026年西藏自治区科技计划项目指南建议表》详见附件</w:t>
      </w:r>
      <w:r w:rsidR="007B5565">
        <w:rPr>
          <w:rFonts w:ascii="仿宋" w:eastAsia="仿宋" w:hAnsi="仿宋" w:hint="eastAsia"/>
          <w:sz w:val="32"/>
          <w:szCs w:val="32"/>
        </w:rPr>
        <w:t>3</w:t>
      </w:r>
      <w:r w:rsidRPr="00880C2F">
        <w:rPr>
          <w:rFonts w:ascii="仿宋" w:eastAsia="仿宋" w:hAnsi="仿宋" w:hint="eastAsia"/>
          <w:sz w:val="32"/>
          <w:szCs w:val="32"/>
        </w:rPr>
        <w:t>），在开展内容完整性及经费合理性审查、重复性筛查、创新性</w:t>
      </w:r>
      <w:proofErr w:type="gramStart"/>
      <w:r w:rsidRPr="00880C2F">
        <w:rPr>
          <w:rFonts w:ascii="仿宋" w:eastAsia="仿宋" w:hAnsi="仿宋" w:hint="eastAsia"/>
          <w:sz w:val="32"/>
          <w:szCs w:val="32"/>
        </w:rPr>
        <w:t>研判等</w:t>
      </w:r>
      <w:proofErr w:type="gramEnd"/>
      <w:r w:rsidRPr="00880C2F">
        <w:rPr>
          <w:rFonts w:ascii="仿宋" w:eastAsia="仿宋" w:hAnsi="仿宋" w:hint="eastAsia"/>
          <w:sz w:val="32"/>
          <w:szCs w:val="32"/>
        </w:rPr>
        <w:t>基础上，形成关键科学问题清单，组织行业领域专家编制并发布年度科技计划项目申报指南。</w:t>
      </w:r>
    </w:p>
    <w:p w14:paraId="40A18D19" w14:textId="1636DA23" w:rsidR="00880C2F" w:rsidRPr="00FD4C80" w:rsidRDefault="00880C2F" w:rsidP="00880C2F">
      <w:pPr>
        <w:snapToGrid w:val="0"/>
        <w:spacing w:after="0" w:line="560" w:lineRule="exact"/>
        <w:ind w:firstLineChars="200" w:firstLine="643"/>
        <w:jc w:val="both"/>
        <w:rPr>
          <w:rFonts w:ascii="仿宋" w:eastAsia="仿宋" w:hAnsi="仿宋" w:hint="eastAsia"/>
          <w:b/>
          <w:bCs/>
          <w:sz w:val="32"/>
          <w:szCs w:val="32"/>
        </w:rPr>
      </w:pPr>
      <w:r w:rsidRPr="00FD4C80">
        <w:rPr>
          <w:rFonts w:ascii="仿宋" w:eastAsia="仿宋" w:hAnsi="仿宋" w:hint="eastAsia"/>
          <w:b/>
          <w:bCs/>
          <w:sz w:val="32"/>
          <w:szCs w:val="32"/>
        </w:rPr>
        <w:t>四、自治区科技计划项目类别</w:t>
      </w:r>
    </w:p>
    <w:p w14:paraId="1BE0B19E" w14:textId="515B3666"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自治区科研项目包括科技重大专项、重点研发及转化、技术创新引导、自然科学基金、基地与人才建设等计划类别，项目组织方式有公开择优、定向择优、定向委托、揭榜挂帅、赛马制、首席科学家负责制、</w:t>
      </w:r>
      <w:proofErr w:type="gramStart"/>
      <w:r w:rsidRPr="00880C2F">
        <w:rPr>
          <w:rFonts w:ascii="仿宋" w:eastAsia="仿宋" w:hAnsi="仿宋" w:hint="eastAsia"/>
          <w:sz w:val="32"/>
          <w:szCs w:val="32"/>
        </w:rPr>
        <w:t>项目群制等</w:t>
      </w:r>
      <w:proofErr w:type="gramEnd"/>
      <w:r w:rsidRPr="00880C2F">
        <w:rPr>
          <w:rFonts w:ascii="仿宋" w:eastAsia="仿宋" w:hAnsi="仿宋" w:hint="eastAsia"/>
          <w:sz w:val="32"/>
          <w:szCs w:val="32"/>
        </w:rPr>
        <w:t>（详见《西藏自治区科技计划项目管理办法》（</w:t>
      </w:r>
      <w:proofErr w:type="gramStart"/>
      <w:r w:rsidRPr="00880C2F">
        <w:rPr>
          <w:rFonts w:ascii="仿宋" w:eastAsia="仿宋" w:hAnsi="仿宋" w:hint="eastAsia"/>
          <w:sz w:val="32"/>
          <w:szCs w:val="32"/>
        </w:rPr>
        <w:t>藏科发</w:t>
      </w:r>
      <w:proofErr w:type="gramEnd"/>
      <w:r w:rsidRPr="00880C2F">
        <w:rPr>
          <w:rFonts w:ascii="仿宋" w:eastAsia="仿宋" w:hAnsi="仿宋" w:hint="eastAsia"/>
          <w:sz w:val="32"/>
          <w:szCs w:val="32"/>
        </w:rPr>
        <w:t>〔2024〕322号）https://sti.xizang.gov.cn/xxgk/tzgg/202411/t20241129_449600.html）。2026年自治区科技计划项目指南建议征集范围不含自治区自然科学基金。</w:t>
      </w:r>
    </w:p>
    <w:p w14:paraId="363853F5" w14:textId="3342BE0C"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——科技重大专项。重点支持自治区战略目标的重大产品开发、关键共性技术攻关或重大科技工程建设，发挥新型</w:t>
      </w:r>
      <w:r w:rsidRPr="00880C2F">
        <w:rPr>
          <w:rFonts w:ascii="仿宋" w:eastAsia="仿宋" w:hAnsi="仿宋" w:hint="eastAsia"/>
          <w:sz w:val="32"/>
          <w:szCs w:val="32"/>
        </w:rPr>
        <w:lastRenderedPageBreak/>
        <w:t>举国体制优势，力争在若干重点领域集中突破，实现科技创新的局部跨越式发展。</w:t>
      </w:r>
    </w:p>
    <w:p w14:paraId="6A42BFD5" w14:textId="2281A7C8"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——重点研发及转化。重点支持自治区经济社会发展重点产业（链）和行业领域科技创新需求。</w:t>
      </w:r>
    </w:p>
    <w:p w14:paraId="57047260" w14:textId="630E59D4"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——技术创新引导。重点支持由企业牵头，联合高校、科研院所，对能为西藏带来重大经济和社会效益的科技成果进行转移转化和引进吸收再创新。</w:t>
      </w:r>
    </w:p>
    <w:p w14:paraId="2973F6F2" w14:textId="3899005E"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——基地与人才建设。重点支持科技创新基地建设与能力提升，促进科技资源开放共享，支持创新人才和优秀团队的科研工作，提高西藏科技创新的条件保障能力。</w:t>
      </w:r>
    </w:p>
    <w:p w14:paraId="755BD66D" w14:textId="60AFF4A2"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科技重大专项项目下设若干课题；重点研发及转化重点专项项目可下设若干课题。重点研发及转化重点项目、技术创新引导项目、基地与人才项目原则上</w:t>
      </w:r>
      <w:proofErr w:type="gramStart"/>
      <w:r w:rsidRPr="00880C2F">
        <w:rPr>
          <w:rFonts w:ascii="仿宋" w:eastAsia="仿宋" w:hAnsi="仿宋" w:hint="eastAsia"/>
          <w:sz w:val="32"/>
          <w:szCs w:val="32"/>
        </w:rPr>
        <w:t>不</w:t>
      </w:r>
      <w:proofErr w:type="gramEnd"/>
      <w:r w:rsidRPr="00880C2F">
        <w:rPr>
          <w:rFonts w:ascii="仿宋" w:eastAsia="仿宋" w:hAnsi="仿宋" w:hint="eastAsia"/>
          <w:sz w:val="32"/>
          <w:szCs w:val="32"/>
        </w:rPr>
        <w:t>下设课题。</w:t>
      </w:r>
    </w:p>
    <w:p w14:paraId="691D8D27" w14:textId="5948C690" w:rsidR="00880C2F" w:rsidRPr="00FD4C80" w:rsidRDefault="00880C2F" w:rsidP="00880C2F">
      <w:pPr>
        <w:snapToGrid w:val="0"/>
        <w:spacing w:after="0" w:line="560" w:lineRule="exact"/>
        <w:ind w:firstLineChars="200" w:firstLine="643"/>
        <w:jc w:val="both"/>
        <w:rPr>
          <w:rFonts w:ascii="仿宋" w:eastAsia="仿宋" w:hAnsi="仿宋" w:hint="eastAsia"/>
          <w:b/>
          <w:bCs/>
          <w:sz w:val="32"/>
          <w:szCs w:val="32"/>
        </w:rPr>
      </w:pPr>
      <w:r w:rsidRPr="00FD4C80">
        <w:rPr>
          <w:rFonts w:ascii="仿宋" w:eastAsia="仿宋" w:hAnsi="仿宋" w:hint="eastAsia"/>
          <w:b/>
          <w:bCs/>
          <w:sz w:val="32"/>
          <w:szCs w:val="32"/>
        </w:rPr>
        <w:t>五、2026年自治区科技计划重点研发及转化重点专项选题考虑</w:t>
      </w:r>
    </w:p>
    <w:p w14:paraId="45B584B2" w14:textId="39720C32"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为强化有组织的科研，学习借鉴国家重点研发计划有关经验做法，自治区科技厅在附件</w:t>
      </w:r>
      <w:r w:rsidR="007B5565">
        <w:rPr>
          <w:rFonts w:ascii="仿宋" w:eastAsia="仿宋" w:hAnsi="仿宋" w:hint="eastAsia"/>
          <w:sz w:val="32"/>
          <w:szCs w:val="32"/>
        </w:rPr>
        <w:t>1</w:t>
      </w:r>
      <w:r w:rsidRPr="00880C2F">
        <w:rPr>
          <w:rFonts w:ascii="仿宋" w:eastAsia="仿宋" w:hAnsi="仿宋" w:hint="eastAsia"/>
          <w:sz w:val="32"/>
          <w:szCs w:val="32"/>
        </w:rPr>
        <w:t>的基础上，提出了2026年自治区科技计划重点研发及转化重点专项选题考虑，重点专项涉及的攻关任务由“必选项+自选项”组成（详见附件</w:t>
      </w:r>
      <w:r w:rsidR="007B5565">
        <w:rPr>
          <w:rFonts w:ascii="仿宋" w:eastAsia="仿宋" w:hAnsi="仿宋" w:hint="eastAsia"/>
          <w:sz w:val="32"/>
          <w:szCs w:val="32"/>
        </w:rPr>
        <w:t>2</w:t>
      </w:r>
      <w:r w:rsidRPr="00880C2F">
        <w:rPr>
          <w:rFonts w:ascii="仿宋" w:eastAsia="仿宋" w:hAnsi="仿宋" w:hint="eastAsia"/>
          <w:sz w:val="32"/>
          <w:szCs w:val="32"/>
        </w:rPr>
        <w:t>）。如：在社会治理与网络空间安全领域，提出了网络安全治理重点专项选题考虑，该专项涉及的“必选项”攻关任务包括新型网络犯罪智能防控等5条，“自选项”攻关任务可结合附件</w:t>
      </w:r>
      <w:r w:rsidR="007B5565">
        <w:rPr>
          <w:rFonts w:ascii="仿宋" w:eastAsia="仿宋" w:hAnsi="仿宋" w:hint="eastAsia"/>
          <w:sz w:val="32"/>
          <w:szCs w:val="32"/>
        </w:rPr>
        <w:t>1</w:t>
      </w:r>
      <w:r w:rsidRPr="00880C2F">
        <w:rPr>
          <w:rFonts w:ascii="仿宋" w:eastAsia="仿宋" w:hAnsi="仿宋" w:hint="eastAsia"/>
          <w:sz w:val="32"/>
          <w:szCs w:val="32"/>
        </w:rPr>
        <w:t>自行选择增加。</w:t>
      </w:r>
    </w:p>
    <w:p w14:paraId="130D395F" w14:textId="5D01EDFA"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同时，除附件</w:t>
      </w:r>
      <w:r w:rsidR="007B5565">
        <w:rPr>
          <w:rFonts w:ascii="仿宋" w:eastAsia="仿宋" w:hAnsi="仿宋" w:hint="eastAsia"/>
          <w:sz w:val="32"/>
          <w:szCs w:val="32"/>
        </w:rPr>
        <w:t>2</w:t>
      </w:r>
      <w:r w:rsidRPr="00880C2F">
        <w:rPr>
          <w:rFonts w:ascii="仿宋" w:eastAsia="仿宋" w:hAnsi="仿宋" w:hint="eastAsia"/>
          <w:sz w:val="32"/>
          <w:szCs w:val="32"/>
        </w:rPr>
        <w:t>中的重点专项选题建议外，各有关单位</w:t>
      </w:r>
      <w:r w:rsidRPr="00880C2F">
        <w:rPr>
          <w:rFonts w:ascii="仿宋" w:eastAsia="仿宋" w:hAnsi="仿宋" w:hint="eastAsia"/>
          <w:sz w:val="32"/>
          <w:szCs w:val="32"/>
        </w:rPr>
        <w:lastRenderedPageBreak/>
        <w:t>和指南建议人还可围绕制约西藏经济社会发展的重大科学问题和关键技术难题，从附件</w:t>
      </w:r>
      <w:r w:rsidR="007B5565">
        <w:rPr>
          <w:rFonts w:ascii="仿宋" w:eastAsia="仿宋" w:hAnsi="仿宋" w:hint="eastAsia"/>
          <w:sz w:val="32"/>
          <w:szCs w:val="32"/>
        </w:rPr>
        <w:t>1</w:t>
      </w:r>
      <w:r w:rsidRPr="00880C2F">
        <w:rPr>
          <w:rFonts w:ascii="仿宋" w:eastAsia="仿宋" w:hAnsi="仿宋" w:hint="eastAsia"/>
          <w:sz w:val="32"/>
          <w:szCs w:val="32"/>
        </w:rPr>
        <w:t>中自由选择若干攻关任务进行组合，提出科技重大专项、重点研发及转化重点专项选题建议。</w:t>
      </w:r>
    </w:p>
    <w:p w14:paraId="337EE8FD" w14:textId="6FBE52F3" w:rsidR="00880C2F" w:rsidRPr="00FD4C80" w:rsidRDefault="00880C2F" w:rsidP="00880C2F">
      <w:pPr>
        <w:snapToGrid w:val="0"/>
        <w:spacing w:after="0" w:line="560" w:lineRule="exact"/>
        <w:ind w:firstLineChars="200" w:firstLine="643"/>
        <w:jc w:val="both"/>
        <w:rPr>
          <w:rFonts w:ascii="仿宋" w:eastAsia="仿宋" w:hAnsi="仿宋" w:hint="eastAsia"/>
          <w:b/>
          <w:bCs/>
          <w:sz w:val="32"/>
          <w:szCs w:val="32"/>
        </w:rPr>
      </w:pPr>
      <w:r w:rsidRPr="00FD4C80">
        <w:rPr>
          <w:rFonts w:ascii="仿宋" w:eastAsia="仿宋" w:hAnsi="仿宋" w:hint="eastAsia"/>
          <w:b/>
          <w:bCs/>
          <w:sz w:val="32"/>
          <w:szCs w:val="32"/>
        </w:rPr>
        <w:t>六、征集范围</w:t>
      </w:r>
    </w:p>
    <w:p w14:paraId="3AA9F6C1" w14:textId="73811981"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（一）区内单位</w:t>
      </w:r>
    </w:p>
    <w:p w14:paraId="3FC623A9" w14:textId="3ABC52F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1.自治区各行业主管部门</w:t>
      </w:r>
    </w:p>
    <w:p w14:paraId="17A37F26" w14:textId="7B1AA75A"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（1）聚焦国家战略需求、党中央工作部署、国家及自治区领导批示指示，行业领域规划、意见、方案中的科技创新任务，以及自治区各产业及产业</w:t>
      </w:r>
      <w:proofErr w:type="gramStart"/>
      <w:r w:rsidRPr="00880C2F">
        <w:rPr>
          <w:rFonts w:ascii="仿宋" w:eastAsia="仿宋" w:hAnsi="仿宋" w:hint="eastAsia"/>
          <w:sz w:val="32"/>
          <w:szCs w:val="32"/>
        </w:rPr>
        <w:t>链科技</w:t>
      </w:r>
      <w:proofErr w:type="gramEnd"/>
      <w:r w:rsidRPr="00880C2F">
        <w:rPr>
          <w:rFonts w:ascii="仿宋" w:eastAsia="仿宋" w:hAnsi="仿宋" w:hint="eastAsia"/>
          <w:sz w:val="32"/>
          <w:szCs w:val="32"/>
        </w:rPr>
        <w:t>创新需求，结合附件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w:t>
      </w:r>
    </w:p>
    <w:p w14:paraId="30C38562" w14:textId="58AB473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（2）计划类别选填科技重大专项、重点研发及转化、技术创新引导、基地与人才，以科技重大专项、重点研发及转化（重点专项、重点项目）为主。</w:t>
      </w:r>
    </w:p>
    <w:p w14:paraId="64072250" w14:textId="3DD8D3CA"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（3）项目类型选填基础研究、应用研究、共性关键技术、应用示范、战略研究，以共性关键技术、应用示范为主。</w:t>
      </w:r>
    </w:p>
    <w:p w14:paraId="51A97D30" w14:textId="4241C40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（4）自治区各行业主管部门可围绕当前和今后一个时期行业领域发展中的战略性、全局性、紧迫性问题，</w:t>
      </w:r>
      <w:proofErr w:type="gramStart"/>
      <w:r w:rsidRPr="00880C2F">
        <w:rPr>
          <w:rFonts w:ascii="仿宋" w:eastAsia="仿宋" w:hAnsi="仿宋" w:hint="eastAsia"/>
          <w:sz w:val="32"/>
          <w:szCs w:val="32"/>
        </w:rPr>
        <w:t>研</w:t>
      </w:r>
      <w:proofErr w:type="gramEnd"/>
      <w:r w:rsidRPr="00880C2F">
        <w:rPr>
          <w:rFonts w:ascii="仿宋" w:eastAsia="仿宋" w:hAnsi="仿宋" w:hint="eastAsia"/>
          <w:sz w:val="32"/>
          <w:szCs w:val="32"/>
        </w:rPr>
        <w:t>提1-2项战略研究指南建议。</w:t>
      </w:r>
    </w:p>
    <w:p w14:paraId="6FBF0982" w14:textId="700AEE20"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2.自治区各高校、科研院所、社会团体</w:t>
      </w:r>
    </w:p>
    <w:p w14:paraId="45DA8D31" w14:textId="5FB45842"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（1）按照科技创新“四个面向”要求，聚焦特色学科建设、高水平人才队伍培养、科技创新基地建设发展等的科技创新需求，结合附件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w:t>
      </w:r>
    </w:p>
    <w:p w14:paraId="54F49873" w14:textId="5586C084"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（2）计划类别选填科技重大专项、重点研发及转化、基</w:t>
      </w:r>
      <w:r w:rsidRPr="00880C2F">
        <w:rPr>
          <w:rFonts w:ascii="仿宋" w:eastAsia="仿宋" w:hAnsi="仿宋" w:hint="eastAsia"/>
          <w:sz w:val="32"/>
          <w:szCs w:val="32"/>
        </w:rPr>
        <w:lastRenderedPageBreak/>
        <w:t>地与人才、技术创新引导，以重点研发及转化（重点专项、重点项目）、技术创新引导为主。</w:t>
      </w:r>
    </w:p>
    <w:p w14:paraId="1E0BA5B5" w14:textId="2D946C95"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（3）项目类型选填基础研究、应用研究、共性关键技术、应用示范、战略研究，以基础研究、应用研究、共性关键技术为主。</w:t>
      </w:r>
    </w:p>
    <w:p w14:paraId="310DAC7B" w14:textId="321667CC"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3.园区及企业</w:t>
      </w:r>
    </w:p>
    <w:p w14:paraId="0795F4FF" w14:textId="19DB79EA"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（1）聚焦制约企业发展和所在行业领域共性技术、关键产品研发、成果转化应用、行业领域共性关键技术等的科技创新需求，结合附件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w:t>
      </w:r>
    </w:p>
    <w:p w14:paraId="41D93873" w14:textId="02A0DCBB"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（2）计划类别选填科技重大专项、重点研发及转化、技术创新引导、基地与人才，以技术创新引导、重点研发及转化（重点专项、重点项目）为主。</w:t>
      </w:r>
    </w:p>
    <w:p w14:paraId="43747655" w14:textId="7040A3E8"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（3）项目类型选填基础研究、应用研究、共性关键技术、应用示范、战略研究，以应用示范、共性关键技术为主。</w:t>
      </w:r>
    </w:p>
    <w:p w14:paraId="3BFE803D" w14:textId="7ADD0167"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4.各地（市）科技局</w:t>
      </w:r>
    </w:p>
    <w:p w14:paraId="35B7502C" w14:textId="1223603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（1）聚焦区域经济社会发展规划、重大工程、重大项目、重大平台以及特色优势产业等的科技创新需求，结合附件</w:t>
      </w:r>
      <w:r w:rsidR="00EE29CD">
        <w:rPr>
          <w:rFonts w:ascii="仿宋" w:eastAsia="仿宋" w:hAnsi="仿宋" w:hint="eastAsia"/>
          <w:sz w:val="32"/>
          <w:szCs w:val="32"/>
        </w:rPr>
        <w:t>1</w:t>
      </w:r>
      <w:r w:rsidRPr="00880C2F">
        <w:rPr>
          <w:rFonts w:ascii="仿宋" w:eastAsia="仿宋" w:hAnsi="仿宋" w:hint="eastAsia"/>
          <w:sz w:val="32"/>
          <w:szCs w:val="32"/>
        </w:rPr>
        <w:t>、附件</w:t>
      </w:r>
      <w:r w:rsidR="00EE29CD">
        <w:rPr>
          <w:rFonts w:ascii="仿宋" w:eastAsia="仿宋" w:hAnsi="仿宋" w:hint="eastAsia"/>
          <w:sz w:val="32"/>
          <w:szCs w:val="32"/>
        </w:rPr>
        <w:t>2</w:t>
      </w:r>
      <w:r w:rsidRPr="00880C2F">
        <w:rPr>
          <w:rFonts w:ascii="仿宋" w:eastAsia="仿宋" w:hAnsi="仿宋" w:hint="eastAsia"/>
          <w:sz w:val="32"/>
          <w:szCs w:val="32"/>
        </w:rPr>
        <w:t>，提出指南建议。</w:t>
      </w:r>
    </w:p>
    <w:p w14:paraId="059BDD5D" w14:textId="4C38FA1C"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（2）计划类别选填科技重大专项、重点研发及转化、技术创新引导、基地与人才，以重点研发及转化（重点专项、重点项目）、技术创新引导为主。</w:t>
      </w:r>
    </w:p>
    <w:p w14:paraId="4645C394" w14:textId="40DFE1FB"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（3）项目类型选填基础研究、应用研究、共性关键技术、应用示范、战略研究，以应用示范、共性关键技术为主。</w:t>
      </w:r>
    </w:p>
    <w:p w14:paraId="54BBB0F2" w14:textId="67ED43E8"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5.各科技创新基地及创新团队</w:t>
      </w:r>
    </w:p>
    <w:p w14:paraId="2F5FEDFE" w14:textId="27A40310"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lastRenderedPageBreak/>
        <w:t>（1）聚焦学科前沿、科技创新基地研究方向、高水平人才队伍培养、科技创新基地建设发展等的科技创新需求，结合附件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，提出指南建议。优先支持2023年以来未获得</w:t>
      </w:r>
      <w:proofErr w:type="gramStart"/>
      <w:r w:rsidRPr="00880C2F">
        <w:rPr>
          <w:rFonts w:ascii="仿宋" w:eastAsia="仿宋" w:hAnsi="仿宋" w:hint="eastAsia"/>
          <w:sz w:val="32"/>
          <w:szCs w:val="32"/>
        </w:rPr>
        <w:t>过基地</w:t>
      </w:r>
      <w:proofErr w:type="gramEnd"/>
      <w:r w:rsidRPr="00880C2F">
        <w:rPr>
          <w:rFonts w:ascii="仿宋" w:eastAsia="仿宋" w:hAnsi="仿宋" w:hint="eastAsia"/>
          <w:sz w:val="32"/>
          <w:szCs w:val="32"/>
        </w:rPr>
        <w:t>与人才类项目资助的科技创新基地。</w:t>
      </w:r>
    </w:p>
    <w:p w14:paraId="60C49628" w14:textId="488F1DBA"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（2）计划类别选填科技重大专项、重点研发及转化、技术创新引导、基地与人才，以重点研发及转化（重点专项、重点项目）为主。</w:t>
      </w:r>
    </w:p>
    <w:p w14:paraId="465A3251" w14:textId="35743F57"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（3）项目类型选填基础研究、应用研究、共性关键技术、应用示范、战略研究，以基础研究、共性关键技术为主。</w:t>
      </w:r>
    </w:p>
    <w:p w14:paraId="4D5F8BC0" w14:textId="47AEAD1E"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（二）区外单位</w:t>
      </w:r>
    </w:p>
    <w:p w14:paraId="25D594A6" w14:textId="1E2C4C13"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及前期研究基础、研究成果，立足前沿技术研究、适用技术引进、成果落地转化等方面，提出指南建议。</w:t>
      </w:r>
    </w:p>
    <w:p w14:paraId="5EFF32A1" w14:textId="1CF5552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（2）计划类别选填科技重大专项、重点研发及转化、技术创新引导、基地与人才，以重点研发及转化（重点专项、重点项目）、技术创新引导为主。</w:t>
      </w:r>
    </w:p>
    <w:p w14:paraId="45FA01FE" w14:textId="0AD152C1"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（3）项目类型选填基础研究、应用研究、共性关键技术、应用示范、战略研究，以共性关键技术、应用示范为主。</w:t>
      </w:r>
    </w:p>
    <w:p w14:paraId="4C4E8C7C" w14:textId="1B605A75" w:rsidR="00880C2F" w:rsidRPr="00FD4C80" w:rsidRDefault="00880C2F" w:rsidP="00880C2F">
      <w:pPr>
        <w:snapToGrid w:val="0"/>
        <w:spacing w:after="0" w:line="560" w:lineRule="exact"/>
        <w:ind w:firstLineChars="200" w:firstLine="643"/>
        <w:jc w:val="both"/>
        <w:rPr>
          <w:rFonts w:ascii="仿宋" w:eastAsia="仿宋" w:hAnsi="仿宋" w:hint="eastAsia"/>
          <w:b/>
          <w:bCs/>
          <w:sz w:val="32"/>
          <w:szCs w:val="32"/>
        </w:rPr>
      </w:pPr>
      <w:r w:rsidRPr="00FD4C80">
        <w:rPr>
          <w:rFonts w:ascii="仿宋" w:eastAsia="仿宋" w:hAnsi="仿宋" w:hint="eastAsia"/>
          <w:b/>
          <w:bCs/>
          <w:sz w:val="32"/>
          <w:szCs w:val="32"/>
        </w:rPr>
        <w:t>区外单位提出的指南建议，须通过拟合作的区内单位渠道填报。</w:t>
      </w:r>
    </w:p>
    <w:p w14:paraId="7CD2E2AA" w14:textId="5A7AF1A6" w:rsidR="00880C2F" w:rsidRPr="00FD4C80" w:rsidRDefault="00880C2F" w:rsidP="00880C2F">
      <w:pPr>
        <w:snapToGrid w:val="0"/>
        <w:spacing w:after="0" w:line="560" w:lineRule="exact"/>
        <w:ind w:firstLineChars="200" w:firstLine="643"/>
        <w:jc w:val="both"/>
        <w:rPr>
          <w:rFonts w:ascii="仿宋" w:eastAsia="仿宋" w:hAnsi="仿宋" w:hint="eastAsia"/>
          <w:b/>
          <w:bCs/>
          <w:sz w:val="32"/>
          <w:szCs w:val="32"/>
        </w:rPr>
      </w:pPr>
      <w:r w:rsidRPr="00FD4C80">
        <w:rPr>
          <w:rFonts w:ascii="仿宋" w:eastAsia="仿宋" w:hAnsi="仿宋" w:hint="eastAsia"/>
          <w:b/>
          <w:bCs/>
          <w:sz w:val="32"/>
          <w:szCs w:val="32"/>
        </w:rPr>
        <w:t>七、开辟新赛道支持各</w:t>
      </w:r>
      <w:proofErr w:type="gramStart"/>
      <w:r w:rsidRPr="00FD4C80">
        <w:rPr>
          <w:rFonts w:ascii="仿宋" w:eastAsia="仿宋" w:hAnsi="仿宋" w:hint="eastAsia"/>
          <w:b/>
          <w:bCs/>
          <w:sz w:val="32"/>
          <w:szCs w:val="32"/>
        </w:rPr>
        <w:t>类创新</w:t>
      </w:r>
      <w:proofErr w:type="gramEnd"/>
      <w:r w:rsidRPr="00FD4C80">
        <w:rPr>
          <w:rFonts w:ascii="仿宋" w:eastAsia="仿宋" w:hAnsi="仿宋" w:hint="eastAsia"/>
          <w:b/>
          <w:bCs/>
          <w:sz w:val="32"/>
          <w:szCs w:val="32"/>
        </w:rPr>
        <w:t>主体</w:t>
      </w:r>
    </w:p>
    <w:p w14:paraId="7F750BC4" w14:textId="39956185"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在自治区科技计划“重点研发及转化”计划类别下设置若干重点专项，为区内高校、科技创新基地、企业等开辟新赛道，鼓励其围绕学科建设、协同攻关、产学研合作等开展</w:t>
      </w:r>
      <w:r w:rsidRPr="00880C2F">
        <w:rPr>
          <w:rFonts w:ascii="仿宋" w:eastAsia="仿宋" w:hAnsi="仿宋" w:hint="eastAsia"/>
          <w:sz w:val="32"/>
          <w:szCs w:val="32"/>
        </w:rPr>
        <w:lastRenderedPageBreak/>
        <w:t>科技合作。</w:t>
      </w:r>
    </w:p>
    <w:p w14:paraId="722FC9AA" w14:textId="32CAFA97"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1.科技强区—2035重点专项</w:t>
      </w:r>
    </w:p>
    <w:p w14:paraId="121A2B91" w14:textId="0F2DF9BB"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设置科技强区—2035重点专项，在高原隆升、地球系统、生态环境、特色种业、高原健康、中藏医结合等领域系统布局，在气候变化、</w:t>
      </w:r>
      <w:proofErr w:type="gramStart"/>
      <w:r w:rsidRPr="00880C2F">
        <w:rPr>
          <w:rFonts w:ascii="仿宋" w:eastAsia="仿宋" w:hAnsi="仿宋" w:hint="eastAsia"/>
          <w:sz w:val="32"/>
          <w:szCs w:val="32"/>
        </w:rPr>
        <w:t>碳达峰碳</w:t>
      </w:r>
      <w:proofErr w:type="gramEnd"/>
      <w:r w:rsidRPr="00880C2F">
        <w:rPr>
          <w:rFonts w:ascii="仿宋" w:eastAsia="仿宋" w:hAnsi="仿宋" w:hint="eastAsia"/>
          <w:sz w:val="32"/>
          <w:szCs w:val="32"/>
        </w:rPr>
        <w:t>中和、战略性矿产、重大自然灾害、社会治理与强边固边、人工智能等领域重点突破，在生物技术、新能源、新材料、极地深地等领域大胆创新，以关键共性技术、前沿引领技术、现代工程技术为突破口，科学布局基础研究、应用研究、技术开发、标准研制、成果转化，努力实现更多“从0到1”的突破，努力抢占更多高原科技制高点。鼓励区内外优势科研力量围绕上述领域，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，提出指南建议，研究周期5年或长周期项目。科技强区2035重点专项实行“首席科学家负责制”或“项目群制”。</w:t>
      </w:r>
    </w:p>
    <w:p w14:paraId="2FD4871C" w14:textId="47779D44"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2.产业</w:t>
      </w:r>
      <w:proofErr w:type="gramStart"/>
      <w:r w:rsidRPr="00880C2F">
        <w:rPr>
          <w:rFonts w:ascii="仿宋" w:eastAsia="仿宋" w:hAnsi="仿宋" w:hint="eastAsia"/>
          <w:sz w:val="32"/>
          <w:szCs w:val="32"/>
        </w:rPr>
        <w:t>链创新</w:t>
      </w:r>
      <w:proofErr w:type="gramEnd"/>
      <w:r w:rsidRPr="00880C2F">
        <w:rPr>
          <w:rFonts w:ascii="仿宋" w:eastAsia="仿宋" w:hAnsi="仿宋" w:hint="eastAsia"/>
          <w:sz w:val="32"/>
          <w:szCs w:val="32"/>
        </w:rPr>
        <w:t>计划重点专项</w:t>
      </w:r>
    </w:p>
    <w:p w14:paraId="23E09EAC" w14:textId="285BB8EC"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设置产业</w:t>
      </w:r>
      <w:proofErr w:type="gramStart"/>
      <w:r w:rsidRPr="00880C2F">
        <w:rPr>
          <w:rFonts w:ascii="仿宋" w:eastAsia="仿宋" w:hAnsi="仿宋" w:hint="eastAsia"/>
          <w:sz w:val="32"/>
          <w:szCs w:val="32"/>
        </w:rPr>
        <w:t>链创新</w:t>
      </w:r>
      <w:proofErr w:type="gramEnd"/>
      <w:r w:rsidRPr="00880C2F">
        <w:rPr>
          <w:rFonts w:ascii="仿宋" w:eastAsia="仿宋" w:hAnsi="仿宋" w:hint="eastAsia"/>
          <w:sz w:val="32"/>
          <w:szCs w:val="32"/>
        </w:rPr>
        <w:t>计划重点专项，鼓励区内</w:t>
      </w:r>
      <w:proofErr w:type="gramStart"/>
      <w:r w:rsidRPr="00880C2F">
        <w:rPr>
          <w:rFonts w:ascii="仿宋" w:eastAsia="仿宋" w:hAnsi="仿宋" w:hint="eastAsia"/>
          <w:sz w:val="32"/>
          <w:szCs w:val="32"/>
        </w:rPr>
        <w:t>“九大产业”链主企业</w:t>
      </w:r>
      <w:proofErr w:type="gramEnd"/>
      <w:r w:rsidRPr="00880C2F">
        <w:rPr>
          <w:rFonts w:ascii="仿宋" w:eastAsia="仿宋" w:hAnsi="仿宋" w:hint="eastAsia"/>
          <w:sz w:val="32"/>
          <w:szCs w:val="32"/>
        </w:rPr>
        <w:t>或链上企业围绕产业共性技术、关键产品等，对技术研发、成果转化、标准研制、产业培育实行同设计、同推进，联合区内外不少于5家优势企业及科研单位组建创新联合体，结合附件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，提出指南建议，研究周期不超过3年，企业其他来源资金（包含单位自筹资金、其他非财政渠道资金）与自治区财政资金比例原则上不低于1：1。产业</w:t>
      </w:r>
      <w:proofErr w:type="gramStart"/>
      <w:r w:rsidRPr="00880C2F">
        <w:rPr>
          <w:rFonts w:ascii="仿宋" w:eastAsia="仿宋" w:hAnsi="仿宋" w:hint="eastAsia"/>
          <w:sz w:val="32"/>
          <w:szCs w:val="32"/>
        </w:rPr>
        <w:t>链创新</w:t>
      </w:r>
      <w:proofErr w:type="gramEnd"/>
      <w:r w:rsidRPr="00880C2F">
        <w:rPr>
          <w:rFonts w:ascii="仿宋" w:eastAsia="仿宋" w:hAnsi="仿宋" w:hint="eastAsia"/>
          <w:sz w:val="32"/>
          <w:szCs w:val="32"/>
        </w:rPr>
        <w:t>计划重点专项实行“首席科学家负责制”。</w:t>
      </w:r>
    </w:p>
    <w:p w14:paraId="13F22633" w14:textId="61DDFB6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3.科技型企业、规模以上工业企业和科技服务业企业创</w:t>
      </w:r>
      <w:r w:rsidRPr="00880C2F">
        <w:rPr>
          <w:rFonts w:ascii="仿宋" w:eastAsia="仿宋" w:hAnsi="仿宋" w:hint="eastAsia"/>
          <w:sz w:val="32"/>
          <w:szCs w:val="32"/>
        </w:rPr>
        <w:lastRenderedPageBreak/>
        <w:t>新能力提升重点专项</w:t>
      </w:r>
    </w:p>
    <w:p w14:paraId="42FBE003" w14:textId="302CCBAB"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设置科技型企业、规模以上工业企业和科技服务业企业创新能力提升重点专项，鼓励区</w:t>
      </w:r>
      <w:proofErr w:type="gramStart"/>
      <w:r w:rsidRPr="00880C2F">
        <w:rPr>
          <w:rFonts w:ascii="仿宋" w:eastAsia="仿宋" w:hAnsi="仿宋" w:hint="eastAsia"/>
          <w:sz w:val="32"/>
          <w:szCs w:val="32"/>
        </w:rPr>
        <w:t>内科技型企业</w:t>
      </w:r>
      <w:proofErr w:type="gramEnd"/>
      <w:r w:rsidRPr="00880C2F">
        <w:rPr>
          <w:rFonts w:ascii="仿宋" w:eastAsia="仿宋" w:hAnsi="仿宋" w:hint="eastAsia"/>
          <w:sz w:val="32"/>
          <w:szCs w:val="32"/>
        </w:rPr>
        <w:t>、规模以上工业企业和科技服务业企业围绕企业科技创新需求，结合附件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研究周期不超过3年，企业其他来源资金（包含单位自筹资金、其他非财政渠道资金）与自治区财政资金比例原则上不低于1：1。规模以上工业企业创新能力提升重点专项实行“首席科学家负责制”或“项目群制”。</w:t>
      </w:r>
    </w:p>
    <w:p w14:paraId="16C5DD3C" w14:textId="721C817F"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4.科技创新基地协同攻关重点专项</w:t>
      </w:r>
    </w:p>
    <w:p w14:paraId="0676B66E" w14:textId="0FB0B7E9"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设置科技创新基地协同攻关重点专项，鼓励国家和自治区批准在藏建设的105家科技创新基地围绕领域共性技术，由1家在藏建设的科技创新基地牵头，联合本领域不少于3家国家或自治区级科技创新基地（其中：区内外国家级科技创新基地不少于1家，依托单位为区内单位的科技创新基地不少于1家）组建创新联合体，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，提出指南建议，研究周期不超过3年。科技创新基地协同攻关重点专项实行“首席科学家负责制”。鼓励不同序列科技创新基地间的协同攻关。</w:t>
      </w:r>
    </w:p>
    <w:p w14:paraId="489E31E1" w14:textId="7A49CB9F"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5.高校特色学科发展重点专项</w:t>
      </w:r>
    </w:p>
    <w:p w14:paraId="43E94EEF" w14:textId="05F92347"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设置高校特色学科发展重点专项，鼓励西藏大学、西藏民族大学、西藏藏医药大学、西藏农牧大学等区内高校各围绕自身1-2个特色优势学科建设，结合附件</w:t>
      </w:r>
      <w:r w:rsidR="007B5565">
        <w:rPr>
          <w:rFonts w:ascii="仿宋" w:eastAsia="仿宋" w:hAnsi="仿宋" w:hint="eastAsia"/>
          <w:sz w:val="32"/>
          <w:szCs w:val="32"/>
        </w:rPr>
        <w:t>1</w:t>
      </w:r>
      <w:r w:rsidRPr="00880C2F">
        <w:rPr>
          <w:rFonts w:ascii="仿宋" w:eastAsia="仿宋" w:hAnsi="仿宋" w:hint="eastAsia"/>
          <w:sz w:val="32"/>
          <w:szCs w:val="32"/>
        </w:rPr>
        <w:t>、附件</w:t>
      </w:r>
      <w:r w:rsidR="007B5565">
        <w:rPr>
          <w:rFonts w:ascii="仿宋" w:eastAsia="仿宋" w:hAnsi="仿宋" w:hint="eastAsia"/>
          <w:sz w:val="32"/>
          <w:szCs w:val="32"/>
        </w:rPr>
        <w:t>2</w:t>
      </w:r>
      <w:r w:rsidRPr="00880C2F">
        <w:rPr>
          <w:rFonts w:ascii="仿宋" w:eastAsia="仿宋" w:hAnsi="仿宋" w:hint="eastAsia"/>
          <w:sz w:val="32"/>
          <w:szCs w:val="32"/>
        </w:rPr>
        <w:t>，提出指南建议，研究周期不超过5年。高校特色学科发展重点专</w:t>
      </w:r>
      <w:r w:rsidRPr="00880C2F">
        <w:rPr>
          <w:rFonts w:ascii="仿宋" w:eastAsia="仿宋" w:hAnsi="仿宋" w:hint="eastAsia"/>
          <w:sz w:val="32"/>
          <w:szCs w:val="32"/>
        </w:rPr>
        <w:lastRenderedPageBreak/>
        <w:t>项实行“首席科学家负责制”。</w:t>
      </w:r>
    </w:p>
    <w:p w14:paraId="798937C5" w14:textId="3835F4BD"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6.重点县域创新能力提升重点专项</w:t>
      </w:r>
    </w:p>
    <w:p w14:paraId="0ABDADD2" w14:textId="39DE4D18"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设置重点县域创新能力提升重点专项，由相关地（市）科技局负责组织，鼓励相关重点县域围绕乡村振兴、特色产业发展、民生改善等领域的科技创新需求，结合附件</w:t>
      </w:r>
      <w:r w:rsidR="007B5565">
        <w:rPr>
          <w:rFonts w:ascii="仿宋" w:eastAsia="仿宋" w:hAnsi="仿宋" w:hint="eastAsia"/>
          <w:sz w:val="32"/>
          <w:szCs w:val="32"/>
        </w:rPr>
        <w:t>1</w:t>
      </w:r>
      <w:r w:rsidRPr="00880C2F">
        <w:rPr>
          <w:rFonts w:ascii="仿宋" w:eastAsia="仿宋" w:hAnsi="仿宋" w:hint="eastAsia"/>
          <w:sz w:val="32"/>
          <w:szCs w:val="32"/>
        </w:rPr>
        <w:t>，提出指南建议，推动技术集成应用和成果转化，提升县域科技供给，研究周期不超过3年。重点县域创新能力提升重点专项实行“首席科学家负责制”或“项目群制”。</w:t>
      </w:r>
    </w:p>
    <w:p w14:paraId="12718E0F" w14:textId="5E143764" w:rsidR="00880C2F" w:rsidRPr="00CB23DD" w:rsidRDefault="00880C2F" w:rsidP="00880C2F">
      <w:pPr>
        <w:snapToGrid w:val="0"/>
        <w:spacing w:after="0" w:line="560" w:lineRule="exact"/>
        <w:ind w:firstLineChars="200" w:firstLine="643"/>
        <w:jc w:val="both"/>
        <w:rPr>
          <w:rFonts w:ascii="仿宋" w:eastAsia="仿宋" w:hAnsi="仿宋" w:hint="eastAsia"/>
          <w:b/>
          <w:bCs/>
          <w:sz w:val="32"/>
          <w:szCs w:val="32"/>
        </w:rPr>
      </w:pPr>
      <w:r w:rsidRPr="00CB23DD">
        <w:rPr>
          <w:rFonts w:ascii="仿宋" w:eastAsia="仿宋" w:hAnsi="仿宋" w:hint="eastAsia"/>
          <w:b/>
          <w:bCs/>
          <w:sz w:val="32"/>
          <w:szCs w:val="32"/>
        </w:rPr>
        <w:t>八、填报要求</w:t>
      </w:r>
    </w:p>
    <w:p w14:paraId="6E123508" w14:textId="5B0D2773"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（一）填报附件</w:t>
      </w:r>
      <w:r w:rsidR="007B5565">
        <w:rPr>
          <w:rFonts w:ascii="仿宋" w:eastAsia="仿宋" w:hAnsi="仿宋" w:hint="eastAsia"/>
          <w:sz w:val="32"/>
          <w:szCs w:val="32"/>
        </w:rPr>
        <w:t>3</w:t>
      </w:r>
      <w:r w:rsidRPr="00880C2F">
        <w:rPr>
          <w:rFonts w:ascii="仿宋" w:eastAsia="仿宋" w:hAnsi="仿宋" w:hint="eastAsia"/>
          <w:sz w:val="32"/>
          <w:szCs w:val="32"/>
        </w:rPr>
        <w:t>时，需明确学科方向、关键词、应用场景或服务对象、对口行业部门、项目类型等信息，研究内容、考核指标等内容要条理清晰、内容完整。政策依据请逐项填写，如：国家层面和自治区层面关于某项工作科技攻关任务的决策部署内容，有关行业或领域规划、方案、意见等关于某项工作科技攻关任务的具体要求内容，国家及自治区领导批示、指示内容等。</w:t>
      </w:r>
    </w:p>
    <w:p w14:paraId="6E55C019" w14:textId="20830945"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（二）若提出的指南建议的计划类别为“科技重大专项”或“重点研发及转化重点专项”，除填写附件</w:t>
      </w:r>
      <w:r w:rsidR="007B5565">
        <w:rPr>
          <w:rFonts w:ascii="仿宋" w:eastAsia="仿宋" w:hAnsi="仿宋" w:hint="eastAsia"/>
          <w:sz w:val="32"/>
          <w:szCs w:val="32"/>
        </w:rPr>
        <w:t>3</w:t>
      </w:r>
      <w:r w:rsidRPr="00880C2F">
        <w:rPr>
          <w:rFonts w:ascii="仿宋" w:eastAsia="仿宋" w:hAnsi="仿宋" w:hint="eastAsia"/>
          <w:sz w:val="32"/>
          <w:szCs w:val="32"/>
        </w:rPr>
        <w:t>外，还需编制专项实施方案（详见附件</w:t>
      </w:r>
      <w:r w:rsidR="007B5565">
        <w:rPr>
          <w:rFonts w:ascii="仿宋" w:eastAsia="仿宋" w:hAnsi="仿宋" w:hint="eastAsia"/>
          <w:sz w:val="32"/>
          <w:szCs w:val="32"/>
        </w:rPr>
        <w:t>7</w:t>
      </w:r>
      <w:r w:rsidRPr="00880C2F">
        <w:rPr>
          <w:rFonts w:ascii="仿宋" w:eastAsia="仿宋" w:hAnsi="仿宋" w:hint="eastAsia"/>
          <w:sz w:val="32"/>
          <w:szCs w:val="32"/>
        </w:rPr>
        <w:t>）一并报送；若提出的指南建议的组织形式为“揭榜挂帅”（即，对项目申报人不设学历、职称、年龄门槛，无限项要求），除填写附件</w:t>
      </w:r>
      <w:r w:rsidR="007B5565">
        <w:rPr>
          <w:rFonts w:ascii="仿宋" w:eastAsia="仿宋" w:hAnsi="仿宋" w:hint="eastAsia"/>
          <w:sz w:val="32"/>
          <w:szCs w:val="32"/>
        </w:rPr>
        <w:t>3</w:t>
      </w:r>
      <w:r w:rsidRPr="00880C2F">
        <w:rPr>
          <w:rFonts w:ascii="仿宋" w:eastAsia="仿宋" w:hAnsi="仿宋" w:hint="eastAsia"/>
          <w:sz w:val="32"/>
          <w:szCs w:val="32"/>
        </w:rPr>
        <w:t>外，还需编制项目榜单（详见附件</w:t>
      </w:r>
      <w:r w:rsidR="007B5565">
        <w:rPr>
          <w:rFonts w:ascii="仿宋" w:eastAsia="仿宋" w:hAnsi="仿宋" w:hint="eastAsia"/>
          <w:sz w:val="32"/>
          <w:szCs w:val="32"/>
        </w:rPr>
        <w:t>8</w:t>
      </w:r>
      <w:r w:rsidRPr="00880C2F">
        <w:rPr>
          <w:rFonts w:ascii="仿宋" w:eastAsia="仿宋" w:hAnsi="仿宋" w:hint="eastAsia"/>
          <w:sz w:val="32"/>
          <w:szCs w:val="32"/>
        </w:rPr>
        <w:t>）一并报送。</w:t>
      </w:r>
    </w:p>
    <w:p w14:paraId="1AFA1819" w14:textId="4B3563E3"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（三）2026年自治区科技计划项目指南建议通过线</w:t>
      </w:r>
      <w:proofErr w:type="gramStart"/>
      <w:r w:rsidRPr="00880C2F">
        <w:rPr>
          <w:rFonts w:ascii="仿宋" w:eastAsia="仿宋" w:hAnsi="仿宋" w:hint="eastAsia"/>
          <w:sz w:val="32"/>
          <w:szCs w:val="32"/>
        </w:rPr>
        <w:t>上方式</w:t>
      </w:r>
      <w:proofErr w:type="gramEnd"/>
      <w:r w:rsidRPr="00880C2F">
        <w:rPr>
          <w:rFonts w:ascii="仿宋" w:eastAsia="仿宋" w:hAnsi="仿宋" w:hint="eastAsia"/>
          <w:sz w:val="32"/>
          <w:szCs w:val="32"/>
        </w:rPr>
        <w:t>报送，请有关单位和个人按照本通知要求通过西藏自治区</w:t>
      </w:r>
      <w:r w:rsidRPr="00880C2F">
        <w:rPr>
          <w:rFonts w:ascii="仿宋" w:eastAsia="仿宋" w:hAnsi="仿宋" w:hint="eastAsia"/>
          <w:sz w:val="32"/>
          <w:szCs w:val="32"/>
        </w:rPr>
        <w:lastRenderedPageBreak/>
        <w:t>科技创新服务系统（https://www.xizangsti.cn）“科技项目”模块内在线填报指南建议，由所在单位在线审核同意后统一提交至自治区科技厅（具体操作详见附件</w:t>
      </w:r>
      <w:r w:rsidR="007B5565">
        <w:rPr>
          <w:rFonts w:ascii="仿宋" w:eastAsia="仿宋" w:hAnsi="仿宋" w:hint="eastAsia"/>
          <w:sz w:val="32"/>
          <w:szCs w:val="32"/>
        </w:rPr>
        <w:t>9</w:t>
      </w:r>
      <w:r w:rsidRPr="00880C2F">
        <w:rPr>
          <w:rFonts w:ascii="仿宋" w:eastAsia="仿宋" w:hAnsi="仿宋" w:hint="eastAsia"/>
          <w:sz w:val="32"/>
          <w:szCs w:val="32"/>
        </w:rPr>
        <w:t>），请指南建议人与有审核权限的单位提前沟通对接指南提交事宜。不接收以个人名义报送的指南建议。2026年度指南建议集中受理时间：2025年6月29日（周日）09：00-7月20日（周日）18：00。集中受理结束后，自治区科技厅通过西藏自治区科技创新服务系统常年受理指南建议并纳入后续年度予以统筹考虑。</w:t>
      </w:r>
    </w:p>
    <w:p w14:paraId="1AB22669" w14:textId="38A0D00B"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（四）此次征集的项目指南建议是确定2026年度自治区科技攻关任务的重要依据，请各有关单位高度重视，认真学习领会，按照通知有关要求，精心组织本行业、本系统、本区域、本单位指南建议编制工作。</w:t>
      </w:r>
    </w:p>
    <w:p w14:paraId="02AA30E5" w14:textId="0C5A17B5"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（五）涉密内容</w:t>
      </w:r>
      <w:proofErr w:type="gramStart"/>
      <w:r w:rsidRPr="00880C2F">
        <w:rPr>
          <w:rFonts w:ascii="仿宋" w:eastAsia="仿宋" w:hAnsi="仿宋" w:hint="eastAsia"/>
          <w:sz w:val="32"/>
          <w:szCs w:val="32"/>
        </w:rPr>
        <w:t>请严格</w:t>
      </w:r>
      <w:proofErr w:type="gramEnd"/>
      <w:r w:rsidRPr="00880C2F">
        <w:rPr>
          <w:rFonts w:ascii="仿宋" w:eastAsia="仿宋" w:hAnsi="仿宋" w:hint="eastAsia"/>
          <w:sz w:val="32"/>
          <w:szCs w:val="32"/>
        </w:rPr>
        <w:t>按照相关规定通过涉密渠道报送至自治区科技厅。</w:t>
      </w:r>
    </w:p>
    <w:p w14:paraId="030DB3DC" w14:textId="541605DB"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（六）请登录平台后获取附件，具体操作详见附件</w:t>
      </w:r>
      <w:r w:rsidR="00A750D3">
        <w:rPr>
          <w:rFonts w:ascii="仿宋" w:eastAsia="仿宋" w:hAnsi="仿宋" w:hint="eastAsia"/>
          <w:sz w:val="32"/>
          <w:szCs w:val="32"/>
        </w:rPr>
        <w:t>9</w:t>
      </w:r>
      <w:r w:rsidRPr="00880C2F">
        <w:rPr>
          <w:rFonts w:ascii="仿宋" w:eastAsia="仿宋" w:hAnsi="仿宋" w:hint="eastAsia"/>
          <w:sz w:val="32"/>
          <w:szCs w:val="32"/>
        </w:rPr>
        <w:t>。</w:t>
      </w:r>
    </w:p>
    <w:p w14:paraId="51DB4648" w14:textId="18500B15" w:rsidR="00880C2F" w:rsidRPr="00FD4C80" w:rsidRDefault="00880C2F" w:rsidP="00880C2F">
      <w:pPr>
        <w:snapToGrid w:val="0"/>
        <w:spacing w:after="0" w:line="560" w:lineRule="exact"/>
        <w:ind w:firstLineChars="200" w:firstLine="643"/>
        <w:jc w:val="both"/>
        <w:rPr>
          <w:rFonts w:ascii="仿宋" w:eastAsia="仿宋" w:hAnsi="仿宋" w:hint="eastAsia"/>
          <w:b/>
          <w:bCs/>
          <w:sz w:val="32"/>
          <w:szCs w:val="32"/>
        </w:rPr>
      </w:pPr>
      <w:r w:rsidRPr="00FD4C80">
        <w:rPr>
          <w:rFonts w:ascii="仿宋" w:eastAsia="仿宋" w:hAnsi="仿宋" w:hint="eastAsia"/>
          <w:b/>
          <w:bCs/>
          <w:sz w:val="32"/>
          <w:szCs w:val="32"/>
        </w:rPr>
        <w:t>九、咨询方式</w:t>
      </w:r>
    </w:p>
    <w:p w14:paraId="561E1D74" w14:textId="51C5E4C4"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（一）指南建议征集单位：西藏自治区科学技术厅</w:t>
      </w:r>
    </w:p>
    <w:p w14:paraId="725610CE" w14:textId="2FE61FA0"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孙明军 郭晓 李</w:t>
      </w:r>
      <w:proofErr w:type="gramStart"/>
      <w:r w:rsidRPr="00880C2F">
        <w:rPr>
          <w:rFonts w:ascii="仿宋" w:eastAsia="仿宋" w:hAnsi="仿宋" w:hint="eastAsia"/>
          <w:sz w:val="32"/>
          <w:szCs w:val="32"/>
        </w:rPr>
        <w:t>一</w:t>
      </w:r>
      <w:proofErr w:type="gramEnd"/>
      <w:r w:rsidRPr="00880C2F">
        <w:rPr>
          <w:rFonts w:ascii="仿宋" w:eastAsia="仿宋" w:hAnsi="仿宋" w:hint="eastAsia"/>
          <w:sz w:val="32"/>
          <w:szCs w:val="32"/>
        </w:rPr>
        <w:t>民 0891-6836039</w:t>
      </w:r>
    </w:p>
    <w:p w14:paraId="391F6AF9" w14:textId="2A581099"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（二）技术支持单位：西藏自治区科技信息研究所科技信息中心</w:t>
      </w:r>
    </w:p>
    <w:p w14:paraId="101AAA0B" w14:textId="0F817E66" w:rsidR="00880C2F" w:rsidRP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黄玉龙 0891-6835641；0891-6830873</w:t>
      </w:r>
    </w:p>
    <w:p w14:paraId="75A5C341" w14:textId="75DAC719" w:rsidR="00880C2F" w:rsidRDefault="00880C2F" w:rsidP="00880C2F">
      <w:pPr>
        <w:snapToGrid w:val="0"/>
        <w:spacing w:after="0" w:line="560" w:lineRule="exact"/>
        <w:ind w:firstLineChars="200" w:firstLine="640"/>
        <w:jc w:val="both"/>
        <w:rPr>
          <w:rFonts w:ascii="仿宋" w:eastAsia="仿宋" w:hAnsi="仿宋" w:hint="eastAsia"/>
          <w:sz w:val="32"/>
          <w:szCs w:val="32"/>
        </w:rPr>
      </w:pPr>
      <w:r w:rsidRPr="00880C2F">
        <w:rPr>
          <w:rFonts w:ascii="仿宋" w:eastAsia="仿宋" w:hAnsi="仿宋" w:hint="eastAsia"/>
          <w:sz w:val="32"/>
          <w:szCs w:val="32"/>
        </w:rPr>
        <w:t>咨询时间：工作日09：30-13：00，15：30-18：00</w:t>
      </w:r>
    </w:p>
    <w:p w14:paraId="44A5322F" w14:textId="77777777" w:rsidR="00CB23DD" w:rsidRDefault="00CB23DD" w:rsidP="00880C2F">
      <w:pPr>
        <w:snapToGrid w:val="0"/>
        <w:spacing w:after="0" w:line="560" w:lineRule="exact"/>
        <w:ind w:firstLineChars="200" w:firstLine="640"/>
        <w:jc w:val="both"/>
        <w:rPr>
          <w:rFonts w:ascii="仿宋" w:eastAsia="仿宋" w:hAnsi="仿宋" w:hint="eastAsia"/>
          <w:sz w:val="32"/>
          <w:szCs w:val="32"/>
        </w:rPr>
      </w:pPr>
    </w:p>
    <w:p w14:paraId="0E83FCD2" w14:textId="77777777" w:rsidR="00CB23DD" w:rsidRDefault="00CB23DD" w:rsidP="00880C2F">
      <w:pPr>
        <w:snapToGrid w:val="0"/>
        <w:spacing w:after="0" w:line="560" w:lineRule="exact"/>
        <w:ind w:firstLineChars="200" w:firstLine="640"/>
        <w:jc w:val="both"/>
        <w:rPr>
          <w:rFonts w:ascii="仿宋" w:eastAsia="仿宋" w:hAnsi="仿宋" w:hint="eastAsia"/>
          <w:sz w:val="32"/>
          <w:szCs w:val="32"/>
        </w:rPr>
      </w:pPr>
    </w:p>
    <w:p w14:paraId="65B74FAE" w14:textId="3B189199" w:rsidR="00CB23DD" w:rsidRPr="00CB23DD" w:rsidRDefault="00CB23DD" w:rsidP="00CB23DD">
      <w:pPr>
        <w:wordWrap w:val="0"/>
        <w:snapToGrid w:val="0"/>
        <w:spacing w:after="0" w:line="560" w:lineRule="exact"/>
        <w:ind w:firstLineChars="200" w:firstLine="640"/>
        <w:jc w:val="right"/>
        <w:rPr>
          <w:rFonts w:ascii="仿宋" w:eastAsia="仿宋" w:hAnsi="仿宋" w:hint="eastAsia"/>
          <w:sz w:val="32"/>
          <w:szCs w:val="32"/>
        </w:rPr>
      </w:pPr>
      <w:r>
        <w:rPr>
          <w:rFonts w:ascii="仿宋" w:eastAsia="仿宋" w:hAnsi="仿宋" w:hint="eastAsia"/>
          <w:sz w:val="32"/>
          <w:szCs w:val="32"/>
        </w:rPr>
        <w:t xml:space="preserve">西藏自治区科学技术厅  </w:t>
      </w:r>
    </w:p>
    <w:p w14:paraId="010BFDBA" w14:textId="55C0CFE7" w:rsidR="00CB23DD" w:rsidRPr="00880C2F" w:rsidRDefault="00CB23DD" w:rsidP="00CB23DD">
      <w:pPr>
        <w:wordWrap w:val="0"/>
        <w:snapToGrid w:val="0"/>
        <w:spacing w:after="0" w:line="560" w:lineRule="exact"/>
        <w:ind w:firstLineChars="200" w:firstLine="640"/>
        <w:jc w:val="right"/>
        <w:rPr>
          <w:rFonts w:ascii="仿宋" w:eastAsia="仿宋" w:hAnsi="仿宋" w:hint="eastAsia"/>
          <w:sz w:val="32"/>
          <w:szCs w:val="32"/>
        </w:rPr>
      </w:pPr>
      <w:r>
        <w:rPr>
          <w:rFonts w:ascii="仿宋" w:eastAsia="仿宋" w:hAnsi="仿宋" w:hint="eastAsia"/>
          <w:sz w:val="32"/>
          <w:szCs w:val="32"/>
        </w:rPr>
        <w:t xml:space="preserve">2025年6月28日    </w:t>
      </w:r>
    </w:p>
    <w:sectPr w:rsidR="00CB23DD" w:rsidRPr="00880C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26189" w14:textId="77777777" w:rsidR="00575722" w:rsidRDefault="00575722" w:rsidP="00A750D3">
      <w:pPr>
        <w:spacing w:after="0" w:line="240" w:lineRule="auto"/>
        <w:rPr>
          <w:rFonts w:hint="eastAsia"/>
        </w:rPr>
      </w:pPr>
      <w:r>
        <w:separator/>
      </w:r>
    </w:p>
  </w:endnote>
  <w:endnote w:type="continuationSeparator" w:id="0">
    <w:p w14:paraId="1452EE63" w14:textId="77777777" w:rsidR="00575722" w:rsidRDefault="00575722" w:rsidP="00A750D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A21A3" w14:textId="77777777" w:rsidR="00575722" w:rsidRDefault="00575722" w:rsidP="00A750D3">
      <w:pPr>
        <w:spacing w:after="0" w:line="240" w:lineRule="auto"/>
        <w:rPr>
          <w:rFonts w:hint="eastAsia"/>
        </w:rPr>
      </w:pPr>
      <w:r>
        <w:separator/>
      </w:r>
    </w:p>
  </w:footnote>
  <w:footnote w:type="continuationSeparator" w:id="0">
    <w:p w14:paraId="47678308" w14:textId="77777777" w:rsidR="00575722" w:rsidRDefault="00575722" w:rsidP="00A750D3">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74E"/>
    <w:rsid w:val="00405391"/>
    <w:rsid w:val="00575722"/>
    <w:rsid w:val="006F2DE0"/>
    <w:rsid w:val="007B5565"/>
    <w:rsid w:val="008545BE"/>
    <w:rsid w:val="0085599F"/>
    <w:rsid w:val="00880C2F"/>
    <w:rsid w:val="00A750D3"/>
    <w:rsid w:val="00CB23DD"/>
    <w:rsid w:val="00CD574E"/>
    <w:rsid w:val="00DC0F2D"/>
    <w:rsid w:val="00EE29CD"/>
    <w:rsid w:val="00F87923"/>
    <w:rsid w:val="00FD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15AEC4"/>
  <w15:chartTrackingRefBased/>
  <w15:docId w15:val="{EF8E218D-14FF-442D-9043-DA8F9F95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D574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D574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D574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D574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D574E"/>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D574E"/>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D574E"/>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D574E"/>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CD574E"/>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D574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D574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D574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D574E"/>
    <w:rPr>
      <w:rFonts w:cstheme="majorBidi"/>
      <w:color w:val="0F4761" w:themeColor="accent1" w:themeShade="BF"/>
      <w:sz w:val="28"/>
      <w:szCs w:val="28"/>
    </w:rPr>
  </w:style>
  <w:style w:type="character" w:customStyle="1" w:styleId="50">
    <w:name w:val="标题 5 字符"/>
    <w:basedOn w:val="a0"/>
    <w:link w:val="5"/>
    <w:uiPriority w:val="9"/>
    <w:semiHidden/>
    <w:rsid w:val="00CD574E"/>
    <w:rPr>
      <w:rFonts w:cstheme="majorBidi"/>
      <w:color w:val="0F4761" w:themeColor="accent1" w:themeShade="BF"/>
      <w:sz w:val="24"/>
    </w:rPr>
  </w:style>
  <w:style w:type="character" w:customStyle="1" w:styleId="60">
    <w:name w:val="标题 6 字符"/>
    <w:basedOn w:val="a0"/>
    <w:link w:val="6"/>
    <w:uiPriority w:val="9"/>
    <w:semiHidden/>
    <w:rsid w:val="00CD574E"/>
    <w:rPr>
      <w:rFonts w:cstheme="majorBidi"/>
      <w:b/>
      <w:bCs/>
      <w:color w:val="0F4761" w:themeColor="accent1" w:themeShade="BF"/>
    </w:rPr>
  </w:style>
  <w:style w:type="character" w:customStyle="1" w:styleId="70">
    <w:name w:val="标题 7 字符"/>
    <w:basedOn w:val="a0"/>
    <w:link w:val="7"/>
    <w:uiPriority w:val="9"/>
    <w:semiHidden/>
    <w:rsid w:val="00CD574E"/>
    <w:rPr>
      <w:rFonts w:cstheme="majorBidi"/>
      <w:b/>
      <w:bCs/>
      <w:color w:val="595959" w:themeColor="text1" w:themeTint="A6"/>
    </w:rPr>
  </w:style>
  <w:style w:type="character" w:customStyle="1" w:styleId="80">
    <w:name w:val="标题 8 字符"/>
    <w:basedOn w:val="a0"/>
    <w:link w:val="8"/>
    <w:uiPriority w:val="9"/>
    <w:semiHidden/>
    <w:rsid w:val="00CD574E"/>
    <w:rPr>
      <w:rFonts w:cstheme="majorBidi"/>
      <w:color w:val="595959" w:themeColor="text1" w:themeTint="A6"/>
    </w:rPr>
  </w:style>
  <w:style w:type="character" w:customStyle="1" w:styleId="90">
    <w:name w:val="标题 9 字符"/>
    <w:basedOn w:val="a0"/>
    <w:link w:val="9"/>
    <w:uiPriority w:val="9"/>
    <w:semiHidden/>
    <w:rsid w:val="00CD574E"/>
    <w:rPr>
      <w:rFonts w:eastAsiaTheme="majorEastAsia" w:cstheme="majorBidi"/>
      <w:color w:val="595959" w:themeColor="text1" w:themeTint="A6"/>
    </w:rPr>
  </w:style>
  <w:style w:type="paragraph" w:styleId="a3">
    <w:name w:val="Title"/>
    <w:basedOn w:val="a"/>
    <w:next w:val="a"/>
    <w:link w:val="a4"/>
    <w:uiPriority w:val="10"/>
    <w:qFormat/>
    <w:rsid w:val="00CD574E"/>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D574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D574E"/>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D574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D574E"/>
    <w:pPr>
      <w:spacing w:before="160"/>
      <w:jc w:val="center"/>
    </w:pPr>
    <w:rPr>
      <w:i/>
      <w:iCs/>
      <w:color w:val="404040" w:themeColor="text1" w:themeTint="BF"/>
    </w:rPr>
  </w:style>
  <w:style w:type="character" w:customStyle="1" w:styleId="a8">
    <w:name w:val="引用 字符"/>
    <w:basedOn w:val="a0"/>
    <w:link w:val="a7"/>
    <w:uiPriority w:val="29"/>
    <w:rsid w:val="00CD574E"/>
    <w:rPr>
      <w:i/>
      <w:iCs/>
      <w:color w:val="404040" w:themeColor="text1" w:themeTint="BF"/>
    </w:rPr>
  </w:style>
  <w:style w:type="paragraph" w:styleId="a9">
    <w:name w:val="List Paragraph"/>
    <w:basedOn w:val="a"/>
    <w:uiPriority w:val="34"/>
    <w:qFormat/>
    <w:rsid w:val="00CD574E"/>
    <w:pPr>
      <w:ind w:left="720"/>
      <w:contextualSpacing/>
    </w:pPr>
  </w:style>
  <w:style w:type="character" w:styleId="aa">
    <w:name w:val="Intense Emphasis"/>
    <w:basedOn w:val="a0"/>
    <w:uiPriority w:val="21"/>
    <w:qFormat/>
    <w:rsid w:val="00CD574E"/>
    <w:rPr>
      <w:i/>
      <w:iCs/>
      <w:color w:val="0F4761" w:themeColor="accent1" w:themeShade="BF"/>
    </w:rPr>
  </w:style>
  <w:style w:type="paragraph" w:styleId="ab">
    <w:name w:val="Intense Quote"/>
    <w:basedOn w:val="a"/>
    <w:next w:val="a"/>
    <w:link w:val="ac"/>
    <w:uiPriority w:val="30"/>
    <w:qFormat/>
    <w:rsid w:val="00CD57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D574E"/>
    <w:rPr>
      <w:i/>
      <w:iCs/>
      <w:color w:val="0F4761" w:themeColor="accent1" w:themeShade="BF"/>
    </w:rPr>
  </w:style>
  <w:style w:type="character" w:styleId="ad">
    <w:name w:val="Intense Reference"/>
    <w:basedOn w:val="a0"/>
    <w:uiPriority w:val="32"/>
    <w:qFormat/>
    <w:rsid w:val="00CD574E"/>
    <w:rPr>
      <w:b/>
      <w:bCs/>
      <w:smallCaps/>
      <w:color w:val="0F4761" w:themeColor="accent1" w:themeShade="BF"/>
      <w:spacing w:val="5"/>
    </w:rPr>
  </w:style>
  <w:style w:type="paragraph" w:styleId="ae">
    <w:name w:val="header"/>
    <w:basedOn w:val="a"/>
    <w:link w:val="af"/>
    <w:uiPriority w:val="99"/>
    <w:unhideWhenUsed/>
    <w:rsid w:val="00A750D3"/>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A750D3"/>
    <w:rPr>
      <w:sz w:val="18"/>
      <w:szCs w:val="18"/>
    </w:rPr>
  </w:style>
  <w:style w:type="paragraph" w:styleId="af0">
    <w:name w:val="footer"/>
    <w:basedOn w:val="a"/>
    <w:link w:val="af1"/>
    <w:uiPriority w:val="99"/>
    <w:unhideWhenUsed/>
    <w:rsid w:val="00A750D3"/>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A750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12</Pages>
  <Words>887</Words>
  <Characters>5061</Characters>
  <Application>Microsoft Office Word</Application>
  <DocSecurity>0</DocSecurity>
  <Lines>42</Lines>
  <Paragraphs>11</Paragraphs>
  <ScaleCrop>false</ScaleCrop>
  <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杨培浩</dc:creator>
  <cp:keywords/>
  <dc:description/>
  <cp:lastModifiedBy>杨培浩</cp:lastModifiedBy>
  <cp:revision>11</cp:revision>
  <dcterms:created xsi:type="dcterms:W3CDTF">2025-07-01T08:24:00Z</dcterms:created>
  <dcterms:modified xsi:type="dcterms:W3CDTF">2025-07-01T08:57:00Z</dcterms:modified>
</cp:coreProperties>
</file>